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ourceNote"/>
        <w:pageBreakBefore w:val="0"/>
        <w:spacing w:after="100"/>
      </w:pPr>
      <w:r>
        <w:t>投资研究  |  全球与大中华区  |  2026年10月30日</w:t>
      </w:r>
    </w:p>
    <w:p>
      <w:pPr>
        <w:pStyle w:val="Title"/>
        <w:pageBreakBefore w:val="0"/>
      </w:pPr>
      <w:r>
        <w:t>Luya 全球与大中华区</w:t>
        <w:br/>
        <w:t>市场研究</w:t>
      </w:r>
    </w:p>
    <w:p>
      <w:r>
        <w:t>基准情景下，Luya可变现的全球整合TAM约1.99十亿美元，大中华区约564.5百万美元。收缩到可服务地域、语言和渠道后，全球近端SAM约155.9百万美元；按新增账户、年度返回及容量逐年推演，2031E全球SOM约16.8百万美元。市场足以支撑细分产品，尚不能单凭规模证明平台扩张成立。</w:t>
      </w:r>
    </w:p>
    <w:p>
      <w:pPr>
        <w:pStyle w:val="ExhibitTitle"/>
      </w:pPr>
      <w:r>
        <w:t>Exhibit 1  基准SOM远小于TAM，规模来自可触达账户而非任意份额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FE2"/>
          <w:bottom w:val="single" w:sz="4" w:color="D7DFE2"/>
          <w:insideH w:val="single" w:sz="4" w:color="D7DFE2"/>
        </w:tblBorders>
      </w:tblPr>
      <w:tblGrid>
        <w:gridCol w:w="1984"/>
        <w:gridCol w:w="1587"/>
        <w:gridCol w:w="1587"/>
        <w:gridCol w:w="1587"/>
        <w:gridCol w:w="1502"/>
        <w:gridCol w:w="1502"/>
      </w:tblGrid>
      <w:tr>
        <w:trPr>
          <w:tblHeader/>
        </w:trPr>
        <w:tc>
          <w:tcPr>
            <w:tcW w:type="dxa" w:w="1984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百万美元／年</w:t>
            </w:r>
          </w:p>
        </w:tc>
        <w:tc>
          <w:tcPr>
            <w:tcW w:type="dxa" w:w="1587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TAM*</w:t>
            </w:r>
          </w:p>
        </w:tc>
        <w:tc>
          <w:tcPr>
            <w:tcW w:type="dxa" w:w="1587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近端SAM*</w:t>
            </w:r>
          </w:p>
        </w:tc>
        <w:tc>
          <w:tcPr>
            <w:tcW w:type="dxa" w:w="1587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扩展SAM*</w:t>
            </w:r>
          </w:p>
        </w:tc>
        <w:tc>
          <w:tcPr>
            <w:tcW w:type="dxa" w:w="1502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2029E SOM*</w:t>
            </w:r>
          </w:p>
        </w:tc>
        <w:tc>
          <w:tcPr>
            <w:tcW w:type="dxa" w:w="1502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2031E SOM*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全球／保守</w:t>
            </w:r>
          </w:p>
        </w:tc>
        <w:tc>
          <w:tcPr>
            <w:tcW w:type="dxa" w:w="1587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95.3</w:t>
            </w:r>
          </w:p>
        </w:tc>
        <w:tc>
          <w:tcPr>
            <w:tcW w:type="dxa" w:w="1587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6.6</w:t>
            </w:r>
          </w:p>
        </w:tc>
        <w:tc>
          <w:tcPr>
            <w:tcW w:type="dxa" w:w="1587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24.7</w:t>
            </w:r>
          </w:p>
        </w:tc>
        <w:tc>
          <w:tcPr>
            <w:tcW w:type="dxa" w:w="150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0.2</w:t>
            </w:r>
          </w:p>
        </w:tc>
        <w:tc>
          <w:tcPr>
            <w:tcW w:type="dxa" w:w="150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1.1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全球／基准</w:t>
            </w:r>
          </w:p>
        </w:tc>
        <w:tc>
          <w:tcPr>
            <w:tcW w:type="dxa" w:w="1587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1,994.8</w:t>
            </w:r>
          </w:p>
        </w:tc>
        <w:tc>
          <w:tcPr>
            <w:tcW w:type="dxa" w:w="1587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155.9</w:t>
            </w:r>
          </w:p>
        </w:tc>
        <w:tc>
          <w:tcPr>
            <w:tcW w:type="dxa" w:w="1587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574.7</w:t>
            </w:r>
          </w:p>
        </w:tc>
        <w:tc>
          <w:tcPr>
            <w:tcW w:type="dxa" w:w="150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2.6</w:t>
            </w:r>
          </w:p>
        </w:tc>
        <w:tc>
          <w:tcPr>
            <w:tcW w:type="dxa" w:w="150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16.8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全球／乐观</w:t>
            </w:r>
          </w:p>
        </w:tc>
        <w:tc>
          <w:tcPr>
            <w:tcW w:type="dxa" w:w="1587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19,165.2</w:t>
            </w:r>
          </w:p>
        </w:tc>
        <w:tc>
          <w:tcPr>
            <w:tcW w:type="dxa" w:w="1587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1,478.4</w:t>
            </w:r>
          </w:p>
        </w:tc>
        <w:tc>
          <w:tcPr>
            <w:tcW w:type="dxa" w:w="1587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6,087.8</w:t>
            </w:r>
          </w:p>
        </w:tc>
        <w:tc>
          <w:tcPr>
            <w:tcW w:type="dxa" w:w="150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20.9</w:t>
            </w:r>
          </w:p>
        </w:tc>
        <w:tc>
          <w:tcPr>
            <w:tcW w:type="dxa" w:w="150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147.8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大中华区／保守</w:t>
            </w:r>
          </w:p>
        </w:tc>
        <w:tc>
          <w:tcPr>
            <w:tcW w:type="dxa" w:w="1587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41.3</w:t>
            </w:r>
          </w:p>
        </w:tc>
        <w:tc>
          <w:tcPr>
            <w:tcW w:type="dxa" w:w="1587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5.7</w:t>
            </w:r>
          </w:p>
        </w:tc>
        <w:tc>
          <w:tcPr>
            <w:tcW w:type="dxa" w:w="1587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17.4</w:t>
            </w:r>
          </w:p>
        </w:tc>
        <w:tc>
          <w:tcPr>
            <w:tcW w:type="dxa" w:w="150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0.1</w:t>
            </w:r>
          </w:p>
        </w:tc>
        <w:tc>
          <w:tcPr>
            <w:tcW w:type="dxa" w:w="150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0.7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大中华区／基准</w:t>
            </w:r>
          </w:p>
        </w:tc>
        <w:tc>
          <w:tcPr>
            <w:tcW w:type="dxa" w:w="1587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564.5</w:t>
            </w:r>
          </w:p>
        </w:tc>
        <w:tc>
          <w:tcPr>
            <w:tcW w:type="dxa" w:w="1587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120.2</w:t>
            </w:r>
          </w:p>
        </w:tc>
        <w:tc>
          <w:tcPr>
            <w:tcW w:type="dxa" w:w="1587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317.2</w:t>
            </w:r>
          </w:p>
        </w:tc>
        <w:tc>
          <w:tcPr>
            <w:tcW w:type="dxa" w:w="150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1.4</w:t>
            </w:r>
          </w:p>
        </w:tc>
        <w:tc>
          <w:tcPr>
            <w:tcW w:type="dxa" w:w="150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10.0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大中华区／乐观</w:t>
            </w:r>
          </w:p>
        </w:tc>
        <w:tc>
          <w:tcPr>
            <w:tcW w:type="dxa" w:w="1587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3,702.3</w:t>
            </w:r>
          </w:p>
        </w:tc>
        <w:tc>
          <w:tcPr>
            <w:tcW w:type="dxa" w:w="1587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995.2</w:t>
            </w:r>
          </w:p>
        </w:tc>
        <w:tc>
          <w:tcPr>
            <w:tcW w:type="dxa" w:w="1587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2,608.6</w:t>
            </w:r>
          </w:p>
        </w:tc>
        <w:tc>
          <w:tcPr>
            <w:tcW w:type="dxa" w:w="150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10.3</w:t>
            </w:r>
          </w:p>
        </w:tc>
        <w:tc>
          <w:tcPr>
            <w:tcW w:type="dxa" w:w="150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82.5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SourceNote"/>
      </w:pPr>
      <w:r>
        <w:t>来源：公开旅游统计及Luya研究模型。*分析师情景，低置信度，非统计置信区间；2025数量基础、2026报价与固定美元，2027E–2031E为假设经营期。Global已含大中华区。</w:t>
      </w:r>
    </w:p>
    <w:p>
      <w:pPr>
        <w:pStyle w:val="Heading2"/>
      </w:pPr>
      <w:r>
        <w:t>投资判断：先投可验证任务，再决定平台扩张</w:t>
      </w:r>
    </w:p>
    <w:p>
      <w:r>
        <w:t>建议优先验证少数目的地的可执行Trip Plan，并给予Visa.Master同等的商业胜出机会。全球基准2031E收入16.8百万美元，经营预算仍亏损1.4百万美元；达到高收入需要支付、获客、服务成本及交易变现同时改善。当前研究支持设门槛的小规模验证，未形成可直接采用的估值或融资回报判断。</w:t>
      </w:r>
    </w:p>
    <w:p>
      <w:r>
        <w:t>Local Friend的潜在价值在经授权、稀缺且能改变旅行决策的本地内容；Credits应降低有效供给成本或带来有偿复用。两者均需实测，不能预先作为数据壁垒、现金收入或高留存的证明。免费OTA助手、地图与通用AI是主要反方。</w:t>
      </w:r>
    </w:p>
    <w:p>
      <w:pPr>
        <w:pStyle w:val="SourceNote"/>
      </w:pPr>
      <w:r>
        <w:t>研究对象：规划中的16个功能域、116项功能，非已上线业绩。基础资料截止2026-10-29；本版补充来源与模型制作截至2026-10-30。*整合市场含未来预订／签证能力，当前获批合同未验证；纯数字服务另列于正文。</w:t>
      </w:r>
    </w:p>
    <w:p>
      <w:pPr>
        <w:pStyle w:val="SourceNote"/>
      </w:pPr>
      <w:r>
        <w:t>阅读导航：市场2–8页｜竞争与进入9–11页｜财务12–17页｜执行与风险18–21页｜附录22–27页。</w:t>
      </w:r>
    </w:p>
    <w:p>
      <w:pPr>
        <w:pStyle w:val="Heading1"/>
        <w:pageBreakBefore/>
      </w:pPr>
      <w:r>
        <w:t>旅行消费很大，Luya收入池需要逐层收窄</w:t>
      </w:r>
    </w:p>
    <w:p>
      <w:pPr>
        <w:pStyle w:val="ExhibitTitle"/>
      </w:pPr>
      <w:r>
        <w:t>Exhibit 2  2025年旅游需求提供规模背景，各统计量不能直接相加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FE2"/>
          <w:bottom w:val="single" w:sz="4" w:color="D7DFE2"/>
          <w:insideH w:val="single" w:sz="4" w:color="D7DFE2"/>
        </w:tblBorders>
      </w:tblPr>
      <w:tblGrid>
        <w:gridCol w:w="2551"/>
        <w:gridCol w:w="2778"/>
        <w:gridCol w:w="4422"/>
      </w:tblGrid>
      <w:tr>
        <w:trPr>
          <w:tblHeader/>
        </w:trPr>
        <w:tc>
          <w:tcPr>
            <w:tcW w:type="dxa" w:w="2551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地域／指标</w:t>
            </w:r>
          </w:p>
        </w:tc>
        <w:tc>
          <w:tcPr>
            <w:tcW w:type="dxa" w:w="2778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2025数量</w:t>
            </w:r>
          </w:p>
        </w:tc>
        <w:tc>
          <w:tcPr>
            <w:tcW w:type="dxa" w:w="4422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统计单位与边界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全球国际到访</w:t>
            </w:r>
          </w:p>
        </w:tc>
        <w:tc>
          <w:tcPr>
            <w:tcW w:type="dxa" w:w="277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1.544bn</w:t>
            </w:r>
          </w:p>
        </w:tc>
        <w:tc>
          <w:tcPr>
            <w:tcW w:type="dxa" w:w="442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目的地过夜到访；provisional [S01]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全球国内消费</w:t>
            </w:r>
          </w:p>
        </w:tc>
        <w:tc>
          <w:tcPr>
            <w:tcW w:type="dxa" w:w="277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USD5.63tn</w:t>
            </w:r>
          </w:p>
        </w:tc>
        <w:tc>
          <w:tcPr>
            <w:tcW w:type="dxa" w:w="442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WTTC／Oxford模型估计 [S03]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全球国际游客消费</w:t>
            </w:r>
          </w:p>
        </w:tc>
        <w:tc>
          <w:tcPr>
            <w:tcW w:type="dxa" w:w="277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USD2.02tn</w:t>
            </w:r>
          </w:p>
        </w:tc>
        <w:tc>
          <w:tcPr>
            <w:tcW w:type="dxa" w:w="442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行业消费；不是平台收入 [S03]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中国大陆境内游</w:t>
            </w:r>
          </w:p>
        </w:tc>
        <w:tc>
          <w:tcPr>
            <w:tcW w:type="dxa" w:w="277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6.522bn／CNY6.30tn</w:t>
            </w:r>
          </w:p>
        </w:tc>
        <w:tc>
          <w:tcPr>
            <w:tcW w:type="dxa" w:w="442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人次／游客消费 [S02]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中国大陆出境</w:t>
            </w:r>
          </w:p>
        </w:tc>
        <w:tc>
          <w:tcPr>
            <w:tcW w:type="dxa" w:w="277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148.36m</w:t>
            </w:r>
          </w:p>
        </w:tc>
        <w:tc>
          <w:tcPr>
            <w:tcW w:type="dxa" w:w="442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客源出境人次，含港澳台 [S02]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EU27国内旅行</w:t>
            </w:r>
          </w:p>
        </w:tc>
        <w:tc>
          <w:tcPr>
            <w:tcW w:type="dxa" w:w="277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848m／EUR266.2bn</w:t>
            </w:r>
          </w:p>
        </w:tc>
        <w:tc>
          <w:tcPr>
            <w:tcW w:type="dxa" w:w="442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15岁以上居民过夜旅次／支出 [S05]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美国国内旅行</w:t>
            </w:r>
          </w:p>
        </w:tc>
        <w:tc>
          <w:tcPr>
            <w:tcW w:type="dxa" w:w="277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2.40bn／USD1.185tn</w:t>
            </w:r>
          </w:p>
        </w:tc>
        <w:tc>
          <w:tcPr>
            <w:tcW w:type="dxa" w:w="442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行业模型；支出为2025不变美元 [S04]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台湾国内旅行</w:t>
            </w:r>
          </w:p>
        </w:tc>
        <w:tc>
          <w:tcPr>
            <w:tcW w:type="dxa" w:w="277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247.614m／TWD564.3bn</w:t>
            </w:r>
          </w:p>
        </w:tc>
        <w:tc>
          <w:tcPr>
            <w:tcW w:type="dxa" w:w="442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12岁以上国民；含即日游 [S06]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香港／澳门居民离境</w:t>
            </w:r>
          </w:p>
        </w:tc>
        <w:tc>
          <w:tcPr>
            <w:tcW w:type="dxa" w:w="277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117.542m／42.901m</w:t>
            </w:r>
          </w:p>
        </w:tc>
        <w:tc>
          <w:tcPr>
            <w:tcW w:type="dxa" w:w="442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全部边境事件，含例行往返 [S07–08]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台湾居民／国民出国</w:t>
            </w:r>
          </w:p>
        </w:tc>
        <w:tc>
          <w:tcPr>
            <w:tcW w:type="dxa" w:w="277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18.944m</w:t>
            </w:r>
          </w:p>
        </w:tc>
        <w:tc>
          <w:tcPr>
            <w:tcW w:type="dxa" w:w="442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原表全龄国民口径 [S40]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SourceNote"/>
      </w:pPr>
      <w:r>
        <w:t>来源：S01–08、S40。bn=十亿，m=百万，tn=万亿；年龄、居民／国籍、即日／过夜、目的地／客源口径不同。</w:t>
      </w:r>
    </w:p>
    <w:p>
      <w:r>
        <w:t>旅游支出证明经济活动存在，但支付主要流向交通、住宿、餐饮与体验供应商。Luya能获得的收入是用户愿意额外支付的服务价，或在可归因且完成的交易中取得的净佣金。将数万亿美元行业支出直接乘一个泛化AI渗透率，会跳过付款主体、免费替代与收入权利。</w:t>
      </w:r>
    </w:p>
    <w:p>
      <w:r>
        <w:t>全球国内旅次缺乏可直接采用的同口径2025总数。本次恢复的UN Tourism原始工作簿仅到2024年，且没有World汇总。因此以WTTC国内消费除以明确的单旅次支出假设，形成旅次当量；美国、欧盟、大陆与台湾的异质数据仅校准数量级。</w:t>
      </w:r>
    </w:p>
    <w:p>
      <w:r>
        <w:t>增长方向优于规模精度。WTM／Tourism Economics在2025年报告中预测2030国际到访超过20亿；UN在2011年发布的18亿预测更早。它们说明需求可能继续增长，却都不测量AI增量支付，不能直接转为Luya收入CAGR。[S38–39]</w:t>
      </w:r>
    </w:p>
    <w:p>
      <w:pPr>
        <w:pStyle w:val="Heading1"/>
        <w:pageBreakBefore/>
      </w:pPr>
      <w:r>
        <w:t>AI触达已成规模，旅行付费仍需独立识别</w:t>
      </w:r>
    </w:p>
    <w:p>
      <w:pPr>
        <w:pStyle w:val="ExhibitTitle"/>
      </w:pPr>
      <w:r>
        <w:t>Exhibit 3  AI采用与旅行增长提供时机，不能替代商业转化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FE2"/>
          <w:bottom w:val="single" w:sz="4" w:color="D7DFE2"/>
          <w:insideH w:val="single" w:sz="4" w:color="D7DFE2"/>
        </w:tblBorders>
      </w:tblPr>
      <w:tblGrid>
        <w:gridCol w:w="3288"/>
        <w:gridCol w:w="3005"/>
        <w:gridCol w:w="3458"/>
      </w:tblGrid>
      <w:tr>
        <w:trPr>
          <w:tblHeader/>
        </w:trPr>
        <w:tc>
          <w:tcPr>
            <w:tcW w:type="dxa" w:w="3288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指标／来源</w:t>
            </w:r>
          </w:p>
        </w:tc>
        <w:tc>
          <w:tcPr>
            <w:tcW w:type="dxa" w:w="3005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已发表数据</w:t>
            </w:r>
          </w:p>
        </w:tc>
        <w:tc>
          <w:tcPr>
            <w:tcW w:type="dxa" w:w="3458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模型用途与边界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中国生成式AI用户 [S41]</w:t>
            </w:r>
          </w:p>
        </w:tc>
        <w:tc>
          <w:tcPr>
            <w:tcW w:type="dxa" w:w="3005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2025年底6.02亿</w:t>
            </w:r>
          </w:p>
        </w:tc>
        <w:tc>
          <w:tcPr>
            <w:tcW w:type="dxa" w:w="345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来源普及率42.8%，分母非旅行者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中国AI用户规模 [S42]</w:t>
            </w:r>
          </w:p>
        </w:tc>
        <w:tc>
          <w:tcPr>
            <w:tcW w:type="dxa" w:w="3005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2026上半年突破7亿</w:t>
            </w:r>
          </w:p>
        </w:tc>
        <w:tc>
          <w:tcPr>
            <w:tcW w:type="dxa" w:w="345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严格下界；不算精确增长率或付费人数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2030国际到访 [S39]</w:t>
            </w:r>
          </w:p>
        </w:tc>
        <w:tc>
          <w:tcPr>
            <w:tcW w:type="dxa" w:w="3005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18亿，2011年发布预测</w:t>
            </w:r>
          </w:p>
        </w:tc>
        <w:tc>
          <w:tcPr>
            <w:tcW w:type="dxa" w:w="345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长期需求背景，预测较早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2030全球到访 [S38]</w:t>
            </w:r>
          </w:p>
        </w:tc>
        <w:tc>
          <w:tcPr>
            <w:tcW w:type="dxa" w:w="3005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超过20亿，2025年报告</w:t>
            </w:r>
          </w:p>
        </w:tc>
        <w:tc>
          <w:tcPr>
            <w:tcW w:type="dxa" w:w="345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阈值，范围与UN未完全同口径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2030国际目的地消费 [S38]</w:t>
            </w:r>
          </w:p>
        </w:tc>
        <w:tc>
          <w:tcPr>
            <w:tcW w:type="dxa" w:w="3005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USD2.5tn预测</w:t>
            </w:r>
          </w:p>
        </w:tc>
        <w:tc>
          <w:tcPr>
            <w:tcW w:type="dxa" w:w="345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名义／实际基年未充分拆明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2025–30旅行支出CAGR [S38]</w:t>
            </w:r>
          </w:p>
        </w:tc>
        <w:tc>
          <w:tcPr>
            <w:tcW w:type="dxa" w:w="3005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欧洲6%／亚洲10%／北美4%</w:t>
            </w:r>
          </w:p>
        </w:tc>
        <w:tc>
          <w:tcPr>
            <w:tcW w:type="dxa" w:w="345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区域定义不同；不输入AI收入增长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China出境休闲支出 [S38]</w:t>
            </w:r>
          </w:p>
        </w:tc>
        <w:tc>
          <w:tcPr>
            <w:tcW w:type="dxa" w:w="3005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至2030较2025累计+93%</w:t>
            </w:r>
          </w:p>
        </w:tc>
        <w:tc>
          <w:tcPr>
            <w:tcW w:type="dxa" w:w="345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非CAGR，China边界未完整拆明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SourceNote"/>
      </w:pPr>
      <w:r>
        <w:t>来源：S38–39、S41–42。调查／摘要方法不完全相容；数据均为原来源口径，未用AI用户比例直接乘旅游总量。</w:t>
      </w:r>
    </w:p>
    <w:p>
      <w:r>
        <w:t>旅行存在较适合AI的高信息负担任务：比较约束、把地点按地理排序、衔接预约、理解当地信息，以及将旅中变化传回计划。多模态让现场问答与拍前指导更自然；agentic接口则可能缩短从发现到预订的链条。价值实现仍取决于实时正确性、权限、付款确认与售后，而不只是生成一份流畅文本。</w:t>
      </w:r>
    </w:p>
    <w:p>
      <w:r>
        <w:t>采用的另一面是供给同质化。TripGenie免费问答、Qwen生态接入与Ask Maps说明大型入口正在提供类似能力；Pixel Camera Coach直接进入拍前指导。消费者更容易尝试AI，并不意味着愿为另一个旅行App增付。Luya应测量完成同一任务的增量支付与成本节约，避免把兴趣调查称为产品市场匹配。[S16–19]</w:t>
      </w:r>
    </w:p>
    <w:p>
      <w:r>
        <w:t>到2030最可信的判断是旅行需求与AI接口继续相互渗透；最不可信的是从某个“AI旅游市场”摘要反推Luya收入。公司模型因此只设1%／3%／5%的旅次增长假设，并把支付、分发、留存与容量另列。模型增长主要由经营参数推动，未把旅游支出预测当成AI收入增速。</w:t>
      </w:r>
    </w:p>
    <w:p>
      <w:pPr>
        <w:pStyle w:val="Heading1"/>
        <w:pageBreakBefore/>
      </w:pPr>
      <w:r>
        <w:t>从人旅次到付款账户，去重是估值前提</w:t>
      </w:r>
    </w:p>
    <w:p>
      <w:pPr>
        <w:pStyle w:val="ExhibitTitle"/>
      </w:pPr>
      <w:r>
        <w:t>Exhibit 4  全球分母从支出代理建立，支付率只作用于相容单位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FE2"/>
          <w:bottom w:val="single" w:sz="4" w:color="D7DFE2"/>
          <w:insideH w:val="single" w:sz="4" w:color="D7DFE2"/>
        </w:tblBorders>
      </w:tblPr>
      <w:tblGrid>
        <w:gridCol w:w="4139"/>
        <w:gridCol w:w="1871"/>
        <w:gridCol w:w="1871"/>
        <w:gridCol w:w="1871"/>
      </w:tblGrid>
      <w:tr>
        <w:trPr>
          <w:tblHeader/>
        </w:trPr>
        <w:tc>
          <w:tcPr>
            <w:tcW w:type="dxa" w:w="4139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关键驱动／单位</w:t>
            </w:r>
          </w:p>
        </w:tc>
        <w:tc>
          <w:tcPr>
            <w:tcW w:type="dxa" w:w="1871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保守</w:t>
            </w:r>
          </w:p>
        </w:tc>
        <w:tc>
          <w:tcPr>
            <w:tcW w:type="dxa" w:w="1871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基准</w:t>
            </w:r>
          </w:p>
        </w:tc>
        <w:tc>
          <w:tcPr>
            <w:tcW w:type="dxa" w:w="1871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乐观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国内单次支出假设／USD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500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350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250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国内旅次当量／bn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11.26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16.09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22.52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每次跨境链的目的地数*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1.30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1.15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1.05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全球客源旅次当量／bn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12.41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17.41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23.99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平均同行人数／付款组*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1.9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1.7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1.5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平均年旅次／账户当量*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2.5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3.0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3.5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旅行AI品类采用率*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20%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40%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60%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年订阅账户比例*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1.5%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4.0%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8.0%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非订阅旅次付费率*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4%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10%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18%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SourceNote"/>
      </w:pPr>
      <w:r>
        <w:t>来源：S01、S03及分析师模型。*以上转换率、频次与付费率均未实测；“账户当量”是计算单位，非已观察的独立用户。</w:t>
      </w:r>
    </w:p>
    <w:p>
      <w:r>
        <w:t>计算顺序为：客源旅次当量→休闲／FIT／移动可服务的联合过滤→付款旅行组→年度账户当量→品类采用→互斥的年订阅与按次付款。联合过滤直接设情景，避免把多个不相容调查的边际比例当作联合概率。</w:t>
      </w:r>
    </w:p>
    <w:p>
      <w:r>
        <w:t>Global已含大中华区。大陆、香港、澳门、台湾按客源分列；跨区旅行归于出发客源，不叠加目的地入境量。ROW是全球当量减四地的残差，而非独立实测地区总数。台湾年龄／居民口径、港澳旅游目的及跨境行程链均通过假设桥接。</w:t>
      </w:r>
    </w:p>
    <w:p>
      <w:r>
        <w:t>年订阅涵盖的旅行不再收按次套餐费；多模块共享一次付款。订阅者假设更高频，剩余非订阅旅次由总量扣回，保持旅行总数恒等。只有额外、明确排除在套餐外的预订佣金与签证准备任务，才增加收入。</w:t>
      </w:r>
    </w:p>
    <w:p>
      <w:pPr>
        <w:pStyle w:val="Heading1"/>
        <w:pageBreakBefore/>
      </w:pPr>
      <w:r>
        <w:t>全球基准TAM约20亿美元，扩展收入占比不可忽略</w:t>
      </w:r>
    </w:p>
    <w:p>
      <w:pPr>
        <w:pStyle w:val="ExhibitTitle"/>
      </w:pPr>
      <w:r>
        <w:t>Exhibit 5  纯数字服务与交易扩展分别展示，避免把未来合同写成现有收入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192000" cy="2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m-composi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urceNote"/>
      </w:pPr>
      <w:r>
        <w:t>来源：公开旅游数据及模型。单位：十亿美元／年；*数字服务为互斥付款池，预订／签证为未来可交付情景，非已签合同。</w:t>
      </w:r>
    </w:p>
    <w:p>
      <w:pPr>
        <w:pStyle w:val="ExhibitTitle"/>
      </w:pPr>
      <w:r>
        <w:t>Exhibit 6  基准整合市场由数字收入与两类额外服务构成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FE2"/>
          <w:bottom w:val="single" w:sz="4" w:color="D7DFE2"/>
          <w:insideH w:val="single" w:sz="4" w:color="D7DFE2"/>
        </w:tblBorders>
      </w:tblPr>
      <w:tblGrid>
        <w:gridCol w:w="4422"/>
        <w:gridCol w:w="2665"/>
        <w:gridCol w:w="2665"/>
      </w:tblGrid>
      <w:tr>
        <w:trPr>
          <w:tblHeader/>
        </w:trPr>
        <w:tc>
          <w:tcPr>
            <w:tcW w:type="dxa" w:w="4422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百万美元／年</w:t>
            </w:r>
          </w:p>
        </w:tc>
        <w:tc>
          <w:tcPr>
            <w:tcW w:type="dxa" w:w="2665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全球</w:t>
            </w:r>
          </w:p>
        </w:tc>
        <w:tc>
          <w:tcPr>
            <w:tcW w:type="dxa" w:w="2665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大中华区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数字订阅／旅行套餐</w:t>
            </w:r>
          </w:p>
        </w:tc>
        <w:tc>
          <w:tcPr>
            <w:tcW w:type="dxa" w:w="2665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1,122.8</w:t>
            </w:r>
          </w:p>
        </w:tc>
        <w:tc>
          <w:tcPr>
            <w:tcW w:type="dxa" w:w="2665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290.2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预订净佣金扩展</w:t>
            </w:r>
          </w:p>
        </w:tc>
        <w:tc>
          <w:tcPr>
            <w:tcW w:type="dxa" w:w="2665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757.7</w:t>
            </w:r>
          </w:p>
        </w:tc>
        <w:tc>
          <w:tcPr>
            <w:tcW w:type="dxa" w:w="2665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235.2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签证准备净服务扩展</w:t>
            </w:r>
          </w:p>
        </w:tc>
        <w:tc>
          <w:tcPr>
            <w:tcW w:type="dxa" w:w="2665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114.3</w:t>
            </w:r>
          </w:p>
        </w:tc>
        <w:tc>
          <w:tcPr>
            <w:tcW w:type="dxa" w:w="2665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39.1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rPr>
                <w:b/>
              </w:rPr>
              <w:t>整合TAM</w:t>
            </w:r>
          </w:p>
        </w:tc>
        <w:tc>
          <w:tcPr>
            <w:tcW w:type="dxa" w:w="2665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rPr>
                <w:b/>
              </w:rPr>
              <w:t>1,994.8</w:t>
            </w:r>
          </w:p>
        </w:tc>
        <w:tc>
          <w:tcPr>
            <w:tcW w:type="dxa" w:w="2665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rPr>
                <w:b/>
              </w:rPr>
              <w:t>564.5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SourceNote"/>
      </w:pPr>
      <w:r>
        <w:t>来源：integrated_market_model。*同一旅客可购买不同权利，但各模块付款人数不相加为独立客户数。</w:t>
      </w:r>
    </w:p>
    <w:p>
      <w:r>
        <w:t>极宽的情景区间来自全球旅次代理、服务相关性、采用、付费与价格的联动，而非精确抽样误差。基准值适合比较商业结构；保守与乐观分别用于检验失败成本与上行所需条件。乐观情景不能视为等概率预测。</w:t>
      </w:r>
    </w:p>
    <w:p>
      <w:r>
        <w:t>可比与预算强度只作合理性检查。数字服务价可参考音频导览与旅行组织工具；OTA集团收入／GMV比率则包含商户、代理及其他业务，不能作Luya净affiliate佣金。共享输入的三角校验也不是独立验证。</w:t>
      </w:r>
    </w:p>
    <w:p>
      <w:pPr>
        <w:pStyle w:val="Heading1"/>
        <w:pageBreakBefore/>
      </w:pPr>
      <w:r>
        <w:t>大中华区由大陆规模主导，四地应分别定价与交付</w:t>
      </w:r>
    </w:p>
    <w:p>
      <w:pPr>
        <w:pStyle w:val="ExhibitTitle"/>
      </w:pPr>
      <w:r>
        <w:t>Exhibit 7  基准四地整合TAM、SAM与2031E收入均可独立核对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FE2"/>
          <w:bottom w:val="single" w:sz="4" w:color="D7DFE2"/>
          <w:insideH w:val="single" w:sz="4" w:color="D7DFE2"/>
        </w:tblBorders>
      </w:tblPr>
      <w:tblGrid>
        <w:gridCol w:w="2494"/>
        <w:gridCol w:w="1814"/>
        <w:gridCol w:w="1814"/>
        <w:gridCol w:w="1814"/>
        <w:gridCol w:w="1814"/>
      </w:tblGrid>
      <w:tr>
        <w:trPr>
          <w:tblHeader/>
        </w:trPr>
        <w:tc>
          <w:tcPr>
            <w:tcW w:type="dxa" w:w="2494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百万美元／年</w:t>
            </w:r>
          </w:p>
        </w:tc>
        <w:tc>
          <w:tcPr>
            <w:tcW w:type="dxa" w:w="1814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TAM*</w:t>
            </w:r>
          </w:p>
        </w:tc>
        <w:tc>
          <w:tcPr>
            <w:tcW w:type="dxa" w:w="1814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近端SAM*</w:t>
            </w:r>
          </w:p>
        </w:tc>
        <w:tc>
          <w:tcPr>
            <w:tcW w:type="dxa" w:w="1814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扩展SAM*</w:t>
            </w:r>
          </w:p>
        </w:tc>
        <w:tc>
          <w:tcPr>
            <w:tcW w:type="dxa" w:w="1814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2031E SOM*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中国大陆</w:t>
            </w:r>
          </w:p>
        </w:tc>
        <w:tc>
          <w:tcPr>
            <w:tcW w:type="dxa" w:w="181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523.1</w:t>
            </w:r>
          </w:p>
        </w:tc>
        <w:tc>
          <w:tcPr>
            <w:tcW w:type="dxa" w:w="181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104.6</w:t>
            </w:r>
          </w:p>
        </w:tc>
        <w:tc>
          <w:tcPr>
            <w:tcW w:type="dxa" w:w="181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287.7</w:t>
            </w:r>
          </w:p>
        </w:tc>
        <w:tc>
          <w:tcPr>
            <w:tcW w:type="dxa" w:w="181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6.9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香港</w:t>
            </w:r>
          </w:p>
        </w:tc>
        <w:tc>
          <w:tcPr>
            <w:tcW w:type="dxa" w:w="181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10.2</w:t>
            </w:r>
          </w:p>
        </w:tc>
        <w:tc>
          <w:tcPr>
            <w:tcW w:type="dxa" w:w="181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4.6</w:t>
            </w:r>
          </w:p>
        </w:tc>
        <w:tc>
          <w:tcPr>
            <w:tcW w:type="dxa" w:w="181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7.7</w:t>
            </w:r>
          </w:p>
        </w:tc>
        <w:tc>
          <w:tcPr>
            <w:tcW w:type="dxa" w:w="181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0.8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澳门</w:t>
            </w:r>
          </w:p>
        </w:tc>
        <w:tc>
          <w:tcPr>
            <w:tcW w:type="dxa" w:w="181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0.8</w:t>
            </w:r>
          </w:p>
        </w:tc>
        <w:tc>
          <w:tcPr>
            <w:tcW w:type="dxa" w:w="181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0.3</w:t>
            </w:r>
          </w:p>
        </w:tc>
        <w:tc>
          <w:tcPr>
            <w:tcW w:type="dxa" w:w="181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0.6</w:t>
            </w:r>
          </w:p>
        </w:tc>
        <w:tc>
          <w:tcPr>
            <w:tcW w:type="dxa" w:w="181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0.2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台湾</w:t>
            </w:r>
          </w:p>
        </w:tc>
        <w:tc>
          <w:tcPr>
            <w:tcW w:type="dxa" w:w="181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30.4</w:t>
            </w:r>
          </w:p>
        </w:tc>
        <w:tc>
          <w:tcPr>
            <w:tcW w:type="dxa" w:w="181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10.6</w:t>
            </w:r>
          </w:p>
        </w:tc>
        <w:tc>
          <w:tcPr>
            <w:tcW w:type="dxa" w:w="181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21.3</w:t>
            </w:r>
          </w:p>
        </w:tc>
        <w:tc>
          <w:tcPr>
            <w:tcW w:type="dxa" w:w="181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2.1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rPr>
                <w:b/>
              </w:rPr>
              <w:t>大中华区</w:t>
            </w:r>
          </w:p>
        </w:tc>
        <w:tc>
          <w:tcPr>
            <w:tcW w:type="dxa" w:w="181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rPr>
                <w:b/>
              </w:rPr>
              <w:t>564.5</w:t>
            </w:r>
          </w:p>
        </w:tc>
        <w:tc>
          <w:tcPr>
            <w:tcW w:type="dxa" w:w="181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rPr>
                <w:b/>
              </w:rPr>
              <w:t>120.2</w:t>
            </w:r>
          </w:p>
        </w:tc>
        <w:tc>
          <w:tcPr>
            <w:tcW w:type="dxa" w:w="181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rPr>
                <w:b/>
              </w:rPr>
              <w:t>317.2</w:t>
            </w:r>
          </w:p>
        </w:tc>
        <w:tc>
          <w:tcPr>
            <w:tcW w:type="dxa" w:w="181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rPr>
                <w:b/>
              </w:rPr>
              <w:t>10.0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SourceNote"/>
      </w:pPr>
      <w:r>
        <w:t>来源：公开旅游统计及Luya研究模型。*分析师情景，低置信度，非统计置信区间；2025数量基础、2026报价与固定美元，2027E–2031E为假设经营期。Global已含大中华区。</w:t>
      </w:r>
    </w:p>
    <w:p>
      <w:pPr>
        <w:pStyle w:val="ExhibitTitle"/>
      </w:pPr>
      <w:r>
        <w:t>Exhibit 8  基准本币测试价明确分开，未把相邻产品价格视为Luya实付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FE2"/>
          <w:bottom w:val="single" w:sz="4" w:color="D7DFE2"/>
          <w:insideH w:val="single" w:sz="4" w:color="D7DFE2"/>
        </w:tblBorders>
      </w:tblPr>
      <w:tblGrid>
        <w:gridCol w:w="3458"/>
        <w:gridCol w:w="2098"/>
        <w:gridCol w:w="2098"/>
        <w:gridCol w:w="2098"/>
      </w:tblGrid>
      <w:tr>
        <w:trPr>
          <w:tblHeader/>
        </w:trPr>
        <w:tc>
          <w:tcPr>
            <w:tcW w:type="dxa" w:w="3458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客源／币种</w:t>
            </w:r>
          </w:p>
        </w:tc>
        <w:tc>
          <w:tcPr>
            <w:tcW w:type="dxa" w:w="2098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年套餐*</w:t>
            </w:r>
          </w:p>
        </w:tc>
        <w:tc>
          <w:tcPr>
            <w:tcW w:type="dxa" w:w="2098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单次旅行*</w:t>
            </w:r>
          </w:p>
        </w:tc>
        <w:tc>
          <w:tcPr>
            <w:tcW w:type="dxa" w:w="2098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签证准备*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中国大陆／CNY</w:t>
            </w:r>
          </w:p>
        </w:tc>
        <w:tc>
          <w:tcPr>
            <w:tcW w:type="dxa" w:w="209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149</w:t>
            </w:r>
          </w:p>
        </w:tc>
        <w:tc>
          <w:tcPr>
            <w:tcW w:type="dxa" w:w="209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29</w:t>
            </w:r>
          </w:p>
        </w:tc>
        <w:tc>
          <w:tcPr>
            <w:tcW w:type="dxa" w:w="209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199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香港／HKD</w:t>
            </w:r>
          </w:p>
        </w:tc>
        <w:tc>
          <w:tcPr>
            <w:tcW w:type="dxa" w:w="209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288</w:t>
            </w:r>
          </w:p>
        </w:tc>
        <w:tc>
          <w:tcPr>
            <w:tcW w:type="dxa" w:w="209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58</w:t>
            </w:r>
          </w:p>
        </w:tc>
        <w:tc>
          <w:tcPr>
            <w:tcW w:type="dxa" w:w="209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288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澳门／MOP</w:t>
            </w:r>
          </w:p>
        </w:tc>
        <w:tc>
          <w:tcPr>
            <w:tcW w:type="dxa" w:w="209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288</w:t>
            </w:r>
          </w:p>
        </w:tc>
        <w:tc>
          <w:tcPr>
            <w:tcW w:type="dxa" w:w="209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58</w:t>
            </w:r>
          </w:p>
        </w:tc>
        <w:tc>
          <w:tcPr>
            <w:tcW w:type="dxa" w:w="209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288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台湾／TWD</w:t>
            </w:r>
          </w:p>
        </w:tc>
        <w:tc>
          <w:tcPr>
            <w:tcW w:type="dxa" w:w="209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990</w:t>
            </w:r>
          </w:p>
        </w:tc>
        <w:tc>
          <w:tcPr>
            <w:tcW w:type="dxa" w:w="209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199</w:t>
            </w:r>
          </w:p>
        </w:tc>
        <w:tc>
          <w:tcPr>
            <w:tcW w:type="dxa" w:w="209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990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其他地区／USD</w:t>
            </w:r>
          </w:p>
        </w:tc>
        <w:tc>
          <w:tcPr>
            <w:tcW w:type="dxa" w:w="209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39</w:t>
            </w:r>
          </w:p>
        </w:tc>
        <w:tc>
          <w:tcPr>
            <w:tcW w:type="dxa" w:w="209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9.99</w:t>
            </w:r>
          </w:p>
        </w:tc>
        <w:tc>
          <w:tcPr>
            <w:tcW w:type="dxa" w:w="209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39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SourceNote"/>
      </w:pPr>
      <w:r>
        <w:t>来源：分析师报价假设；排除间接税与代收款。FX固定2026-10-23；澳门由1.03 MOP/HKD联系汇率假设推导，非同期现汇。</w:t>
      </w:r>
    </w:p>
    <w:p>
      <w:r>
        <w:t>大陆的国内与出境旅次构成主要量基。中文出境FIT可成为验证对象，原因是跨语言、预约和多工具切换的任务较明确；这不代表该客源已证明有更高支付或更低CAC。港澳边境往返包含大量非旅游活动，必须先折为有意义旅行，不能使用全数离境乘付费率。</w:t>
      </w:r>
    </w:p>
    <w:p>
      <w:r>
        <w:t>台湾国内调查与出国统计的年龄、国籍和频率不同，模型采取折扣与更高年度旅行频次。香港TripIt价格与台湾、澳门美图SKU可检验消费工具的价格量级，但产品权利并不相同。本币报价、渠道准入、客服语言与支付方式应逐地测试。</w:t>
      </w:r>
    </w:p>
    <w:p>
      <w:pPr>
        <w:pStyle w:val="SourceNote"/>
      </w:pPr>
      <w:r>
        <w:t>模型另含港澳本地staycation旅次假设；普通日常拍照、餐饮与导航未另加TAM。四地不是同一市场的统一价格复制。</w:t>
      </w:r>
    </w:p>
    <w:p>
      <w:pPr>
        <w:pStyle w:val="Heading1"/>
        <w:pageBreakBefore/>
      </w:pPr>
      <w:r>
        <w:t>SAM取决于服务覆盖，扩城应受交付能力约束</w:t>
      </w:r>
    </w:p>
    <w:p>
      <w:pPr>
        <w:pStyle w:val="ExhibitTitle"/>
      </w:pPr>
      <w:r>
        <w:t>Exhibit 9  数字服务SAM与整合SAM分列，暴露合同依赖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FE2"/>
          <w:bottom w:val="single" w:sz="4" w:color="D7DFE2"/>
          <w:insideH w:val="single" w:sz="4" w:color="D7DFE2"/>
        </w:tblBorders>
      </w:tblPr>
      <w:tblGrid>
        <w:gridCol w:w="4762"/>
        <w:gridCol w:w="2494"/>
        <w:gridCol w:w="2494"/>
      </w:tblGrid>
      <w:tr>
        <w:trPr>
          <w:tblHeader/>
        </w:trPr>
        <w:tc>
          <w:tcPr>
            <w:tcW w:type="dxa" w:w="4762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基准／百万美元年收入</w:t>
            </w:r>
          </w:p>
        </w:tc>
        <w:tc>
          <w:tcPr>
            <w:tcW w:type="dxa" w:w="2494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全球</w:t>
            </w:r>
          </w:p>
        </w:tc>
        <w:tc>
          <w:tcPr>
            <w:tcW w:type="dxa" w:w="2494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大中华区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数字服务TAM</w:t>
            </w:r>
          </w:p>
        </w:tc>
        <w:tc>
          <w:tcPr>
            <w:tcW w:type="dxa" w:w="249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1,122.8</w:t>
            </w:r>
          </w:p>
        </w:tc>
        <w:tc>
          <w:tcPr>
            <w:tcW w:type="dxa" w:w="249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290.2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数字服务近端SAM</w:t>
            </w:r>
          </w:p>
        </w:tc>
        <w:tc>
          <w:tcPr>
            <w:tcW w:type="dxa" w:w="249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82.7</w:t>
            </w:r>
          </w:p>
        </w:tc>
        <w:tc>
          <w:tcPr>
            <w:tcW w:type="dxa" w:w="249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61.9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整合近端SAM</w:t>
            </w:r>
          </w:p>
        </w:tc>
        <w:tc>
          <w:tcPr>
            <w:tcW w:type="dxa" w:w="249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155.9</w:t>
            </w:r>
          </w:p>
        </w:tc>
        <w:tc>
          <w:tcPr>
            <w:tcW w:type="dxa" w:w="249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120.2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数字服务扩展SAM</w:t>
            </w:r>
          </w:p>
        </w:tc>
        <w:tc>
          <w:tcPr>
            <w:tcW w:type="dxa" w:w="249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313.0</w:t>
            </w:r>
          </w:p>
        </w:tc>
        <w:tc>
          <w:tcPr>
            <w:tcW w:type="dxa" w:w="249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163.2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整合扩展SAM</w:t>
            </w:r>
          </w:p>
        </w:tc>
        <w:tc>
          <w:tcPr>
            <w:tcW w:type="dxa" w:w="249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574.7</w:t>
            </w:r>
          </w:p>
        </w:tc>
        <w:tc>
          <w:tcPr>
            <w:tcW w:type="dxa" w:w="249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317.2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SourceNote"/>
      </w:pPr>
      <w:r>
        <w:t>来源：模型。*SAM按语言、目的地、渠道、合规与可交付性作联合覆盖折扣；不是现有Luya服务城市或合同清单。</w:t>
      </w:r>
    </w:p>
    <w:p>
      <w:pPr>
        <w:pStyle w:val="ExhibitTitle"/>
      </w:pPr>
      <w:r>
        <w:t>Exhibit 10  基准覆盖率按客源分别约束，不因语言通用便视为全覆盖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FE2"/>
          <w:bottom w:val="single" w:sz="4" w:color="D7DFE2"/>
          <w:insideH w:val="single" w:sz="4" w:color="D7DFE2"/>
        </w:tblBorders>
      </w:tblPr>
      <w:tblGrid>
        <w:gridCol w:w="1587"/>
        <w:gridCol w:w="1644"/>
        <w:gridCol w:w="1644"/>
        <w:gridCol w:w="4876"/>
      </w:tblGrid>
      <w:tr>
        <w:trPr>
          <w:tblHeader/>
        </w:trPr>
        <w:tc>
          <w:tcPr>
            <w:tcW w:type="dxa" w:w="1587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客源</w:t>
            </w:r>
          </w:p>
        </w:tc>
        <w:tc>
          <w:tcPr>
            <w:tcW w:type="dxa" w:w="1644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近端覆盖*</w:t>
            </w:r>
          </w:p>
        </w:tc>
        <w:tc>
          <w:tcPr>
            <w:tcW w:type="dxa" w:w="1644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扩展覆盖*</w:t>
            </w:r>
          </w:p>
        </w:tc>
        <w:tc>
          <w:tcPr>
            <w:tcW w:type="dxa" w:w="4876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主要执行约束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中国大陆</w:t>
            </w:r>
          </w:p>
        </w:tc>
        <w:tc>
          <w:tcPr>
            <w:tcW w:type="dxa" w:w="164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20.0%</w:t>
            </w:r>
          </w:p>
        </w:tc>
        <w:tc>
          <w:tcPr>
            <w:tcW w:type="dxa" w:w="164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55.0%</w:t>
            </w:r>
          </w:p>
        </w:tc>
        <w:tc>
          <w:tcPr>
            <w:tcW w:type="dxa" w:w="4876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目的地维护、渠道与本地支付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香港</w:t>
            </w:r>
          </w:p>
        </w:tc>
        <w:tc>
          <w:tcPr>
            <w:tcW w:type="dxa" w:w="164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45.0%</w:t>
            </w:r>
          </w:p>
        </w:tc>
        <w:tc>
          <w:tcPr>
            <w:tcW w:type="dxa" w:w="164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75.0%</w:t>
            </w:r>
          </w:p>
        </w:tc>
        <w:tc>
          <w:tcPr>
            <w:tcW w:type="dxa" w:w="4876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双语交付、支付与行程范围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澳门</w:t>
            </w:r>
          </w:p>
        </w:tc>
        <w:tc>
          <w:tcPr>
            <w:tcW w:type="dxa" w:w="164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40.0%</w:t>
            </w:r>
          </w:p>
        </w:tc>
        <w:tc>
          <w:tcPr>
            <w:tcW w:type="dxa" w:w="164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70.0%</w:t>
            </w:r>
          </w:p>
        </w:tc>
        <w:tc>
          <w:tcPr>
            <w:tcW w:type="dxa" w:w="4876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小客源、渠道与目的地范围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台湾</w:t>
            </w:r>
          </w:p>
        </w:tc>
        <w:tc>
          <w:tcPr>
            <w:tcW w:type="dxa" w:w="164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35.0%</w:t>
            </w:r>
          </w:p>
        </w:tc>
        <w:tc>
          <w:tcPr>
            <w:tcW w:type="dxa" w:w="164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70.0%</w:t>
            </w:r>
          </w:p>
        </w:tc>
        <w:tc>
          <w:tcPr>
            <w:tcW w:type="dxa" w:w="4876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繁体、支付、旅次频率与年龄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其他地区</w:t>
            </w:r>
          </w:p>
        </w:tc>
        <w:tc>
          <w:tcPr>
            <w:tcW w:type="dxa" w:w="164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2.5%</w:t>
            </w:r>
          </w:p>
        </w:tc>
        <w:tc>
          <w:tcPr>
            <w:tcW w:type="dxa" w:w="164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18.0%</w:t>
            </w:r>
          </w:p>
        </w:tc>
        <w:tc>
          <w:tcPr>
            <w:tcW w:type="dxa" w:w="4876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英语城市起步，非全世界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SourceNote"/>
      </w:pPr>
      <w:r>
        <w:t>来源：分析师计划假设；无已验证的渠道容量或市场准入比例。</w:t>
      </w:r>
    </w:p>
    <w:p>
      <w:r>
        <w:t>近端SAM代表能够建立有限服务的条件池；扩展SAM要求更多城市内容、实时数据、支付及售后能力。它们都不是用户获取预算。一个被市场规模筛选为可服务的人群，仍可能因为渠道无法有效触达而无法进入SOM。</w:t>
      </w:r>
    </w:p>
    <w:p>
      <w:r>
        <w:t>本模型让公司覆盖逐年从近端走向扩展，同时对每地活跃账户设容量上限。Y1不计预订与签证扩展收入，之后按假设逐步启用。若合同或质量门未通过，扩展收入应归零并重跑，而非用TAM填补预算缺口。</w:t>
      </w:r>
    </w:p>
    <w:p>
      <w:pPr>
        <w:pStyle w:val="Heading1"/>
        <w:pageBreakBefore/>
      </w:pPr>
      <w:r>
        <w:t>多模块可以提高价值，但不能叠加同一笔付款</w:t>
      </w:r>
    </w:p>
    <w:p>
      <w:pPr>
        <w:pStyle w:val="ExhibitTitle"/>
      </w:pPr>
      <w:r>
        <w:t>Exhibit 11  基准数字收入只分配一次，扩展服务才增加收入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FE2"/>
          <w:bottom w:val="single" w:sz="4" w:color="D7DFE2"/>
          <w:insideH w:val="single" w:sz="4" w:color="D7DFE2"/>
        </w:tblBorders>
      </w:tblPr>
      <w:tblGrid>
        <w:gridCol w:w="3231"/>
        <w:gridCol w:w="1757"/>
        <w:gridCol w:w="2381"/>
        <w:gridCol w:w="2381"/>
      </w:tblGrid>
      <w:tr>
        <w:trPr>
          <w:tblHeader/>
        </w:trPr>
        <w:tc>
          <w:tcPr>
            <w:tcW w:type="dxa" w:w="3231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模块</w:t>
            </w:r>
          </w:p>
        </w:tc>
        <w:tc>
          <w:tcPr>
            <w:tcW w:type="dxa" w:w="1757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数字池分配*</w:t>
            </w:r>
          </w:p>
        </w:tc>
        <w:tc>
          <w:tcPr>
            <w:tcW w:type="dxa" w:w="2381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全球TAM／USDm</w:t>
            </w:r>
          </w:p>
        </w:tc>
        <w:tc>
          <w:tcPr>
            <w:tcW w:type="dxa" w:w="2381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大中华TAM／USDm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Trip Plan／预约任务</w:t>
            </w:r>
          </w:p>
        </w:tc>
        <w:tc>
          <w:tcPr>
            <w:tcW w:type="dxa" w:w="1757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35%</w:t>
            </w:r>
          </w:p>
        </w:tc>
        <w:tc>
          <w:tcPr>
            <w:tcW w:type="dxa" w:w="238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393.0</w:t>
            </w:r>
          </w:p>
        </w:tc>
        <w:tc>
          <w:tcPr>
            <w:tcW w:type="dxa" w:w="238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101.6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Local Friend／导览</w:t>
            </w:r>
          </w:p>
        </w:tc>
        <w:tc>
          <w:tcPr>
            <w:tcW w:type="dxa" w:w="1757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30%</w:t>
            </w:r>
          </w:p>
        </w:tc>
        <w:tc>
          <w:tcPr>
            <w:tcW w:type="dxa" w:w="238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336.8</w:t>
            </w:r>
          </w:p>
        </w:tc>
        <w:tc>
          <w:tcPr>
            <w:tcW w:type="dxa" w:w="238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87.1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拍照／回忆</w:t>
            </w:r>
          </w:p>
        </w:tc>
        <w:tc>
          <w:tcPr>
            <w:tcW w:type="dxa" w:w="1757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25%</w:t>
            </w:r>
          </w:p>
        </w:tc>
        <w:tc>
          <w:tcPr>
            <w:tcW w:type="dxa" w:w="238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280.7</w:t>
            </w:r>
          </w:p>
        </w:tc>
        <w:tc>
          <w:tcPr>
            <w:tcW w:type="dxa" w:w="238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72.5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预算／分账／协作</w:t>
            </w:r>
          </w:p>
        </w:tc>
        <w:tc>
          <w:tcPr>
            <w:tcW w:type="dxa" w:w="1757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10%</w:t>
            </w:r>
          </w:p>
        </w:tc>
        <w:tc>
          <w:tcPr>
            <w:tcW w:type="dxa" w:w="238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112.3</w:t>
            </w:r>
          </w:p>
        </w:tc>
        <w:tc>
          <w:tcPr>
            <w:tcW w:type="dxa" w:w="238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29.0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预订净佣金</w:t>
            </w:r>
          </w:p>
        </w:tc>
        <w:tc>
          <w:tcPr>
            <w:tcW w:type="dxa" w:w="1757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增量权利</w:t>
            </w:r>
          </w:p>
        </w:tc>
        <w:tc>
          <w:tcPr>
            <w:tcW w:type="dxa" w:w="238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757.7</w:t>
            </w:r>
          </w:p>
        </w:tc>
        <w:tc>
          <w:tcPr>
            <w:tcW w:type="dxa" w:w="238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235.2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签证准备服务</w:t>
            </w:r>
          </w:p>
        </w:tc>
        <w:tc>
          <w:tcPr>
            <w:tcW w:type="dxa" w:w="1757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增量权利</w:t>
            </w:r>
          </w:p>
        </w:tc>
        <w:tc>
          <w:tcPr>
            <w:tcW w:type="dxa" w:w="238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114.3</w:t>
            </w:r>
          </w:p>
        </w:tc>
        <w:tc>
          <w:tcPr>
            <w:tcW w:type="dxa" w:w="238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39.1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rPr>
                <w:b/>
              </w:rPr>
              <w:t>合并平台收入</w:t>
            </w:r>
          </w:p>
        </w:tc>
        <w:tc>
          <w:tcPr>
            <w:tcW w:type="dxa" w:w="1757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rPr>
                <w:b/>
              </w:rPr>
              <w:t>已去重</w:t>
            </w:r>
          </w:p>
        </w:tc>
        <w:tc>
          <w:tcPr>
            <w:tcW w:type="dxa" w:w="238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rPr>
                <w:b/>
              </w:rPr>
              <w:t>1,994.8</w:t>
            </w:r>
          </w:p>
        </w:tc>
        <w:tc>
          <w:tcPr>
            <w:tcW w:type="dxa" w:w="238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rPr>
                <w:b/>
              </w:rPr>
              <w:t>564.5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SourceNote"/>
      </w:pPr>
      <w:r>
        <w:t>来源：模型module_bridge。*35/30/25/10%为分析分摊，非观测模块偏好或独立模块TAM；四项之和等于同一数字付款池。</w:t>
      </w:r>
    </w:p>
    <w:p>
      <w:r>
        <w:t>旅行套餐可以包含路书、旅中问答、拍照、记账与回忆。假设用户为套餐付一次款，再把各功能的“独立市场规模”全部相加会重复计价。这里按固定权重解释功能贡献，不能据权重判断应给哪个模块更多研发预算。</w:t>
      </w:r>
    </w:p>
    <w:p>
      <w:r>
        <w:t>预订按完成、归因且已结算的GMV乘净费率计算；公开Viator8%与GetYourGuide up to8%仅为政策参照，本模型采用更低净佣金情景。用户向酒店、航空公司或政府支付的本金均排除。签证准备另售时，套餐必须明确排除相同权利。[S25–26]</w:t>
      </w:r>
    </w:p>
    <w:p>
      <w:pPr>
        <w:pStyle w:val="ExhibitTitle"/>
      </w:pPr>
      <w:r>
        <w:t>Exhibit 12  按权益而非按页面点击记录收入，防止隐性重复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FE2"/>
          <w:bottom w:val="single" w:sz="4" w:color="D7DFE2"/>
          <w:insideH w:val="single" w:sz="4" w:color="D7DFE2"/>
        </w:tblBorders>
      </w:tblPr>
      <w:tblGrid>
        <w:gridCol w:w="3005"/>
        <w:gridCol w:w="3458"/>
        <w:gridCol w:w="3288"/>
      </w:tblGrid>
      <w:tr>
        <w:trPr>
          <w:tblHeader/>
        </w:trPr>
        <w:tc>
          <w:tcPr>
            <w:tcW w:type="dxa" w:w="3005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付款情形</w:t>
            </w:r>
          </w:p>
        </w:tc>
        <w:tc>
          <w:tcPr>
            <w:tcW w:type="dxa" w:w="3458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收入处理</w:t>
            </w:r>
          </w:p>
        </w:tc>
        <w:tc>
          <w:tcPr>
            <w:tcW w:type="dxa" w:w="3288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成本处理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年套餐内使用多个功能</w:t>
            </w:r>
          </w:p>
        </w:tc>
        <w:tc>
          <w:tcPr>
            <w:tcW w:type="dxa" w:w="345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确认一次数字收入</w:t>
            </w:r>
          </w:p>
        </w:tc>
        <w:tc>
          <w:tcPr>
            <w:tcW w:type="dxa" w:w="328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所有实际使用均计交付成本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单次旅行用Credits兑换</w:t>
            </w:r>
          </w:p>
        </w:tc>
        <w:tc>
          <w:tcPr>
            <w:tcW w:type="dxa" w:w="345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不把面值新增为现金</w:t>
            </w:r>
          </w:p>
        </w:tc>
        <w:tc>
          <w:tcPr>
            <w:tcW w:type="dxa" w:w="328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计预期兑换履约／审核成本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套餐用户另订活动</w:t>
            </w:r>
          </w:p>
        </w:tc>
        <w:tc>
          <w:tcPr>
            <w:tcW w:type="dxa" w:w="345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仅合资格净佣金</w:t>
            </w:r>
          </w:p>
        </w:tc>
        <w:tc>
          <w:tcPr>
            <w:tcW w:type="dxa" w:w="328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售后与退款成本另计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材料准备与政府签证费</w:t>
            </w:r>
          </w:p>
        </w:tc>
        <w:tc>
          <w:tcPr>
            <w:tcW w:type="dxa" w:w="345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仅净辅助服务价</w:t>
            </w:r>
          </w:p>
        </w:tc>
        <w:tc>
          <w:tcPr>
            <w:tcW w:type="dxa" w:w="328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人工／合规／文档成本另计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SourceNote"/>
      </w:pPr>
      <w:r>
        <w:t>来源：产品边界与模型政策；实际收入确认须按主体合同和会计判断复核。</w:t>
      </w:r>
    </w:p>
    <w:p>
      <w:pPr>
        <w:pStyle w:val="Heading1"/>
        <w:pageBreakBefore/>
      </w:pPr>
      <w:r>
        <w:t>OTA已拥有交易与分发，免费AI提高独立收费门槛</w:t>
      </w:r>
    </w:p>
    <w:p>
      <w:pPr>
        <w:pStyle w:val="ExhibitTitle"/>
      </w:pPr>
      <w:r>
        <w:t>Exhibit 13  2025公开财务规模说明竞争资源，不能移作Luya佣金率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FE2"/>
          <w:bottom w:val="single" w:sz="4" w:color="D7DFE2"/>
          <w:insideH w:val="single" w:sz="4" w:color="D7DFE2"/>
        </w:tblBorders>
      </w:tblPr>
      <w:tblGrid>
        <w:gridCol w:w="1814"/>
        <w:gridCol w:w="2098"/>
        <w:gridCol w:w="2948"/>
        <w:gridCol w:w="2891"/>
      </w:tblGrid>
      <w:tr>
        <w:trPr>
          <w:tblHeader/>
        </w:trPr>
        <w:tc>
          <w:tcPr>
            <w:tcW w:type="dxa" w:w="1814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集团</w:t>
            </w:r>
          </w:p>
        </w:tc>
        <w:tc>
          <w:tcPr>
            <w:tcW w:type="dxa" w:w="2098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年度收入</w:t>
            </w:r>
          </w:p>
        </w:tc>
        <w:tc>
          <w:tcPr>
            <w:tcW w:type="dxa" w:w="2948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交易规模</w:t>
            </w:r>
          </w:p>
        </w:tc>
        <w:tc>
          <w:tcPr>
            <w:tcW w:type="dxa" w:w="2891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解释边界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Booking</w:t>
            </w:r>
          </w:p>
        </w:tc>
        <w:tc>
          <w:tcPr>
            <w:tcW w:type="dxa" w:w="209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USD26.9bn</w:t>
            </w:r>
          </w:p>
        </w:tc>
        <w:tc>
          <w:tcPr>
            <w:tcW w:type="dxa" w:w="294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Gross bookings USD186.1bn</w:t>
            </w:r>
          </w:p>
        </w:tc>
        <w:tc>
          <w:tcPr>
            <w:tcW w:type="dxa" w:w="289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收入／GB约14.5%，非affiliate费率 [S11]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Expedia</w:t>
            </w:r>
          </w:p>
        </w:tc>
        <w:tc>
          <w:tcPr>
            <w:tcW w:type="dxa" w:w="209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USD14.733bn</w:t>
            </w:r>
          </w:p>
        </w:tc>
        <w:tc>
          <w:tcPr>
            <w:tcW w:type="dxa" w:w="294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Gross bookings USD119.590bn</w:t>
            </w:r>
          </w:p>
        </w:tc>
        <w:tc>
          <w:tcPr>
            <w:tcW w:type="dxa" w:w="289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集团多种模式，非单一AI业务 [S12]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Airbnb</w:t>
            </w:r>
          </w:p>
        </w:tc>
        <w:tc>
          <w:tcPr>
            <w:tcW w:type="dxa" w:w="209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USD12.241bn</w:t>
            </w:r>
          </w:p>
        </w:tc>
        <w:tc>
          <w:tcPr>
            <w:tcW w:type="dxa" w:w="294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GBV USD91.3bn</w:t>
            </w:r>
          </w:p>
        </w:tc>
        <w:tc>
          <w:tcPr>
            <w:tcW w:type="dxa" w:w="289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住宿／体验；533m夜晚及席位混合 [S13]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Trip.com Group</w:t>
            </w:r>
          </w:p>
        </w:tc>
        <w:tc>
          <w:tcPr>
            <w:tcW w:type="dxa" w:w="209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CNY62.4bn</w:t>
            </w:r>
          </w:p>
        </w:tc>
        <w:tc>
          <w:tcPr>
            <w:tcW w:type="dxa" w:w="294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不采用异口径交易总量</w:t>
            </w:r>
          </w:p>
        </w:tc>
        <w:tc>
          <w:tcPr>
            <w:tcW w:type="dxa" w:w="289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包括携程／去哪儿，品牌不再相加 [S14]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同程旅行</w:t>
            </w:r>
          </w:p>
        </w:tc>
        <w:tc>
          <w:tcPr>
            <w:tcW w:type="dxa" w:w="209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CNY19.396bn</w:t>
            </w:r>
          </w:p>
        </w:tc>
        <w:tc>
          <w:tcPr>
            <w:tcW w:type="dxa" w:w="294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平均月付费用户45.5m</w:t>
            </w:r>
          </w:p>
        </w:tc>
        <w:tc>
          <w:tcPr>
            <w:tcW w:type="dxa" w:w="289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交易用户，非AI付费人数 [S15]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SourceNote"/>
      </w:pPr>
      <w:r>
        <w:t>来源：S11–15；公司公开业绩，观察年2025。货币、业务组合及财务范围不同，不据此排列Luya估值倍数。</w:t>
      </w:r>
    </w:p>
    <w:p>
      <w:pPr>
        <w:pStyle w:val="ExhibitTitle"/>
      </w:pPr>
      <w:r>
        <w:t>Exhibit 14  主要替代品各自占据一段用户流程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FE2"/>
          <w:bottom w:val="single" w:sz="4" w:color="D7DFE2"/>
          <w:insideH w:val="single" w:sz="4" w:color="D7DFE2"/>
        </w:tblBorders>
      </w:tblPr>
      <w:tblGrid>
        <w:gridCol w:w="2211"/>
        <w:gridCol w:w="3572"/>
        <w:gridCol w:w="3969"/>
      </w:tblGrid>
      <w:tr>
        <w:trPr>
          <w:tblHeader/>
        </w:trPr>
        <w:tc>
          <w:tcPr>
            <w:tcW w:type="dxa" w:w="2211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平台／工具</w:t>
            </w:r>
          </w:p>
        </w:tc>
        <w:tc>
          <w:tcPr>
            <w:tcW w:type="dxa" w:w="3572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核实能力</w:t>
            </w:r>
          </w:p>
        </w:tc>
        <w:tc>
          <w:tcPr>
            <w:tcW w:type="dxa" w:w="3969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对Luya的直接含义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TripGenie</w:t>
            </w:r>
          </w:p>
        </w:tc>
        <w:tc>
          <w:tcPr>
            <w:tcW w:type="dxa" w:w="357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免费旅行问答、行程与商品发现</w:t>
            </w:r>
          </w:p>
        </w:tc>
        <w:tc>
          <w:tcPr>
            <w:tcW w:type="dxa" w:w="396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规划本身难以形成独立价格 [S16]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Qwen／飞猪／高德</w:t>
            </w:r>
          </w:p>
        </w:tc>
        <w:tc>
          <w:tcPr>
            <w:tcW w:type="dxa" w:w="357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公开测试规划、预订与导航链路</w:t>
            </w:r>
          </w:p>
        </w:tc>
        <w:tc>
          <w:tcPr>
            <w:tcW w:type="dxa" w:w="396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生态入口可免费分发；非全旅行原生付款 [S17]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Ask Maps</w:t>
            </w:r>
          </w:p>
        </w:tc>
        <w:tc>
          <w:tcPr>
            <w:tcW w:type="dxa" w:w="357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场景问答与行程发现</w:t>
            </w:r>
          </w:p>
        </w:tc>
        <w:tc>
          <w:tcPr>
            <w:tcW w:type="dxa" w:w="396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初期美印移动端，不能声称中国可用 [S18]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小红书</w:t>
            </w:r>
          </w:p>
        </w:tc>
        <w:tc>
          <w:tcPr>
            <w:tcW w:type="dxa" w:w="357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本地经验、分享与发现</w:t>
            </w:r>
          </w:p>
        </w:tc>
        <w:tc>
          <w:tcPr>
            <w:tcW w:type="dxa" w:w="396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内容与注意力竞争，Luya CAC未知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Mindtrip</w:t>
            </w:r>
          </w:p>
        </w:tc>
        <w:tc>
          <w:tcPr>
            <w:tcW w:type="dxa" w:w="357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偏好、规划预订及变更提醒</w:t>
            </w:r>
          </w:p>
        </w:tc>
        <w:tc>
          <w:tcPr>
            <w:tcW w:type="dxa" w:w="396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闭环功能趋同，当前独立价格未核 [S20]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SourceNote"/>
      </w:pPr>
      <w:r>
        <w:t>来源：S16–20及当前竞争表。判断为作者分析；不将产品声明视为效果或用户规模。</w:t>
      </w:r>
    </w:p>
    <w:p>
      <w:r>
        <w:t>可能的竞争反应是将规划、对话与提醒免费加入现有交易链，以订单佣金补贴推理与分发。Luya需要证明更准确的任务执行、可维护的预约信息或授权本地内容产生额外净支付；“模型更聪明”与“功能更多”不足以抵消入口差距。</w:t>
      </w:r>
    </w:p>
    <w:p>
      <w:pPr>
        <w:pStyle w:val="Heading1"/>
        <w:pageBreakBefore/>
      </w:pPr>
      <w:r>
        <w:t>有价格参照，仍须证明Luya的增量支付</w:t>
      </w:r>
    </w:p>
    <w:p>
      <w:pPr>
        <w:pStyle w:val="ExhibitTitle"/>
      </w:pPr>
      <w:r>
        <w:t>Exhibit 15  相邻付费工具与免费替代并存，价格不可跨权利外推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FE2"/>
          <w:bottom w:val="single" w:sz="4" w:color="D7DFE2"/>
          <w:insideH w:val="single" w:sz="4" w:color="D7DFE2"/>
        </w:tblBorders>
      </w:tblPr>
      <w:tblGrid>
        <w:gridCol w:w="2438"/>
        <w:gridCol w:w="2891"/>
        <w:gridCol w:w="4422"/>
      </w:tblGrid>
      <w:tr>
        <w:trPr>
          <w:tblHeader/>
        </w:trPr>
        <w:tc>
          <w:tcPr>
            <w:tcW w:type="dxa" w:w="2438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参照</w:t>
            </w:r>
          </w:p>
        </w:tc>
        <w:tc>
          <w:tcPr>
            <w:tcW w:type="dxa" w:w="2891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可核价格／状态</w:t>
            </w:r>
          </w:p>
        </w:tc>
        <w:tc>
          <w:tcPr>
            <w:tcW w:type="dxa" w:w="4422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付款单位与分析边界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VoiceMap</w:t>
            </w:r>
          </w:p>
        </w:tc>
        <w:tc>
          <w:tcPr>
            <w:tcW w:type="dxa" w:w="289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USD5.99–29.99</w:t>
            </w:r>
          </w:p>
        </w:tc>
        <w:tc>
          <w:tcPr>
            <w:tcW w:type="dxa" w:w="442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每份预制音频游览许可；非AI对话 [S22]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TripIt Pro／HK</w:t>
            </w:r>
          </w:p>
        </w:tc>
        <w:tc>
          <w:tcPr>
            <w:tcW w:type="dxa" w:w="289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HKD388／年</w:t>
            </w:r>
          </w:p>
        </w:tc>
        <w:tc>
          <w:tcPr>
            <w:tcW w:type="dxa" w:w="442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所列旅行组织SKU；非完整路书 [S23]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美图秀秀／CN</w:t>
            </w:r>
          </w:p>
        </w:tc>
        <w:tc>
          <w:tcPr>
            <w:tcW w:type="dxa" w:w="289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CNY15／月；128／年</w:t>
            </w:r>
          </w:p>
        </w:tc>
        <w:tc>
          <w:tcPr>
            <w:tcW w:type="dxa" w:w="442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所列VIP；侧重后期图像 [S24]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Wanderlog Pro</w:t>
            </w:r>
          </w:p>
        </w:tc>
        <w:tc>
          <w:tcPr>
            <w:tcW w:type="dxa" w:w="289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Starting at $39.99／年</w:t>
            </w:r>
          </w:p>
        </w:tc>
        <w:tc>
          <w:tcPr>
            <w:tcW w:type="dxa" w:w="442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地区／ISO币种未锁，不写USD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Pixel Camera Coach</w:t>
            </w:r>
          </w:p>
        </w:tc>
        <w:tc>
          <w:tcPr>
            <w:tcW w:type="dxa" w:w="289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未核独立收费</w:t>
            </w:r>
          </w:p>
        </w:tc>
        <w:tc>
          <w:tcPr>
            <w:tcW w:type="dxa" w:w="442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拍前构图与光线直接替代 [S19]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Layla</w:t>
            </w:r>
          </w:p>
        </w:tc>
        <w:tc>
          <w:tcPr>
            <w:tcW w:type="dxa" w:w="289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条款称停止新Premium</w:t>
            </w:r>
          </w:p>
        </w:tc>
        <w:tc>
          <w:tcPr>
            <w:tcW w:type="dxa" w:w="442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当前条款矛盾；不能推断失败原因 [S21]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iVisa US</w:t>
            </w:r>
          </w:p>
        </w:tc>
        <w:tc>
          <w:tcPr>
            <w:tcW w:type="dxa" w:w="289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ESTA from USD129.99</w:t>
            </w:r>
          </w:p>
        </w:tc>
        <w:tc>
          <w:tcPr>
            <w:tcW w:type="dxa" w:w="442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总价，不等于材料服务净价 [S37]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Viator／GYG</w:t>
            </w:r>
          </w:p>
        </w:tc>
        <w:tc>
          <w:tcPr>
            <w:tcW w:type="dxa" w:w="289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8%／up to8%</w:t>
            </w:r>
          </w:p>
        </w:tc>
        <w:tc>
          <w:tcPr>
            <w:tcW w:type="dxa" w:w="442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公开affiliate政策，不代表已获批 [S25–26]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SourceNote"/>
      </w:pPr>
      <w:r>
        <w:t>来源：所列编号与当前定价证据；报价为提取时产品页面值，不保证执行日不变。</w:t>
      </w:r>
    </w:p>
    <w:p>
      <w:r>
        <w:t>按次付费与年订阅服务不同人群。低频用户可能只为一份可执行计划付费；高频旅行者只有在全年多次成功使用且订阅经济划算时才续费。基准模型假设4%的品类活跃账户订年套餐，其余旅次10%按次付款；两者不是已观察的Luya转化率。</w:t>
      </w:r>
    </w:p>
    <w:p>
      <w:r>
        <w:t>模型用较少的可编辑参数承接未知，而非由调查中的AI兴趣直接推付费。大陆基准旅行价CNY29、年价149；ROW旅行价USD9.99、年价39。保守价格为基准70%，乐观135%，退款相应为8%／5%／3%。对照应使用相同任务、交付范围与退款窗口，不以更宽套餐制造虚假优越。</w:t>
      </w:r>
    </w:p>
    <w:p>
      <w:pPr>
        <w:pStyle w:val="Heading2"/>
      </w:pPr>
      <w:r>
        <w:t>价格与覆盖的可迁移性，比单一标价更关键</w:t>
      </w:r>
    </w:p>
    <w:p>
      <w:r>
        <w:t>公开标价只能证明某类权利被提供出售；它没有披露成交率、折扣、退款或获客成本。定价测试应锁定一个旅行组的实际权益，同行共享不逐人再收一次。港澳台的不同价格层级及支付渠道分别检验，统一账户并不意味着统一购买力。</w:t>
      </w:r>
    </w:p>
    <w:p>
      <w:pPr>
        <w:pStyle w:val="Heading1"/>
        <w:pageBreakBefore/>
      </w:pPr>
      <w:r>
        <w:t>以可执行Trip Plan起测，真实贡献利润决定先后</w:t>
      </w:r>
    </w:p>
    <w:p>
      <w:pPr>
        <w:pStyle w:val="ExhibitTitle"/>
      </w:pPr>
      <w:r>
        <w:t>Exhibit 16  五个切口采用同一标准，排名是验证顺序而非胜率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FE2"/>
          <w:bottom w:val="single" w:sz="4" w:color="D7DFE2"/>
          <w:insideH w:val="single" w:sz="4" w:color="D7DFE2"/>
        </w:tblBorders>
      </w:tblPr>
      <w:tblGrid>
        <w:gridCol w:w="1814"/>
        <w:gridCol w:w="2211"/>
        <w:gridCol w:w="2098"/>
        <w:gridCol w:w="2494"/>
        <w:gridCol w:w="1134"/>
      </w:tblGrid>
      <w:tr>
        <w:trPr>
          <w:tblHeader/>
        </w:trPr>
        <w:tc>
          <w:tcPr>
            <w:tcW w:type="dxa" w:w="1814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候选</w:t>
            </w:r>
          </w:p>
        </w:tc>
        <w:tc>
          <w:tcPr>
            <w:tcW w:type="dxa" w:w="2211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付费任务清晰度</w:t>
            </w:r>
          </w:p>
        </w:tc>
        <w:tc>
          <w:tcPr>
            <w:tcW w:type="dxa" w:w="2098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差异化可能</w:t>
            </w:r>
          </w:p>
        </w:tc>
        <w:tc>
          <w:tcPr>
            <w:tcW w:type="dxa" w:w="2494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主要成本／风险</w:t>
            </w:r>
          </w:p>
        </w:tc>
        <w:tc>
          <w:tcPr>
            <w:tcW w:type="dxa" w:w="1134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验证优先序*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窄范围Trip Plan</w:t>
            </w:r>
          </w:p>
        </w:tc>
        <w:tc>
          <w:tcPr>
            <w:tcW w:type="dxa" w:w="221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高：路线与预约可验收</w:t>
            </w:r>
          </w:p>
        </w:tc>
        <w:tc>
          <w:tcPr>
            <w:tcW w:type="dxa" w:w="209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可靠执行、同行共享</w:t>
            </w:r>
          </w:p>
        </w:tc>
        <w:tc>
          <w:tcPr>
            <w:tcW w:type="dxa" w:w="249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实时核验；免费竞争</w:t>
            </w:r>
          </w:p>
        </w:tc>
        <w:tc>
          <w:tcPr>
            <w:tcW w:type="dxa" w:w="113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Visa.Master</w:t>
            </w:r>
          </w:p>
        </w:tc>
        <w:tc>
          <w:tcPr>
            <w:tcW w:type="dxa" w:w="221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高：材料准备任务</w:t>
            </w:r>
          </w:p>
        </w:tc>
        <w:tc>
          <w:tcPr>
            <w:tcW w:type="dxa" w:w="209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一致性与准备链路</w:t>
            </w:r>
          </w:p>
        </w:tc>
        <w:tc>
          <w:tcPr>
            <w:tcW w:type="dxa" w:w="249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人工例外、资格与隐私</w:t>
            </w:r>
          </w:p>
        </w:tc>
        <w:tc>
          <w:tcPr>
            <w:tcW w:type="dxa" w:w="113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2，可升至1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Local Friend</w:t>
            </w:r>
          </w:p>
        </w:tc>
        <w:tc>
          <w:tcPr>
            <w:tcW w:type="dxa" w:w="221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中：本地理解偏主观</w:t>
            </w:r>
          </w:p>
        </w:tc>
        <w:tc>
          <w:tcPr>
            <w:tcW w:type="dxa" w:w="209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授权稀缺经历</w:t>
            </w:r>
          </w:p>
        </w:tc>
        <w:tc>
          <w:tcPr>
            <w:tcW w:type="dxa" w:w="249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采集、权利、更新成本</w:t>
            </w:r>
          </w:p>
        </w:tc>
        <w:tc>
          <w:tcPr>
            <w:tcW w:type="dxa" w:w="113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3，先单城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AI拍照</w:t>
            </w:r>
          </w:p>
        </w:tc>
        <w:tc>
          <w:tcPr>
            <w:tcW w:type="dxa" w:w="221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中：拍摄效果可盲评</w:t>
            </w:r>
          </w:p>
        </w:tc>
        <w:tc>
          <w:tcPr>
            <w:tcW w:type="dxa" w:w="209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交互与设备适配</w:t>
            </w:r>
          </w:p>
        </w:tc>
        <w:tc>
          <w:tcPr>
            <w:tcW w:type="dxa" w:w="249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原生相机、多模态延时</w:t>
            </w:r>
          </w:p>
        </w:tc>
        <w:tc>
          <w:tcPr>
            <w:tcW w:type="dxa" w:w="113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轻量综合旅伴</w:t>
            </w:r>
          </w:p>
        </w:tc>
        <w:tc>
          <w:tcPr>
            <w:tcW w:type="dxa" w:w="221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中：跨任务价值待证</w:t>
            </w:r>
          </w:p>
        </w:tc>
        <w:tc>
          <w:tcPr>
            <w:tcW w:type="dxa" w:w="209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上下文复用</w:t>
            </w:r>
          </w:p>
        </w:tc>
        <w:tc>
          <w:tcPr>
            <w:tcW w:type="dxa" w:w="249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功能范围、冷启动</w:t>
            </w:r>
          </w:p>
        </w:tc>
        <w:tc>
          <w:tcPr>
            <w:tcW w:type="dxa" w:w="113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5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SourceNote"/>
      </w:pPr>
      <w:r>
        <w:t>来源：竞争、定价与产品范围的综合分析。*作者判断；无加权伪精确分数，现有开发进度不参与商业排名。</w:t>
      </w:r>
    </w:p>
    <w:p>
      <w:r>
        <w:t>建议并列测试大陆中文出境城市行程与英语欧洲城市短途行程。前者检验跨语言与预约价值，后者检验成熟免费工具环境下是否仍有增量。先按官方信息可维护、实际交付能力、可招募近期旅行组和授权供给选四城以内的任务范围，不预先宣告某城市最优。</w:t>
      </w:r>
    </w:p>
    <w:p>
      <w:r>
        <w:t>首个交付应从已有目的地、日期、预订出发：地理顺序合理，重要预约有来源与核验时间，形成同行共享的路线与待办。签证若在同定义真实支付和全成本贡献上胜出，应成为先行入口，再由用户选择复用行程资料。</w:t>
      </w:r>
    </w:p>
    <w:p>
      <w:pPr>
        <w:pStyle w:val="Heading2"/>
      </w:pPr>
      <w:r>
        <w:t>分发从高意图任务开始，预算只是一项经营提案</w:t>
      </w:r>
    </w:p>
    <w:p>
      <w:r>
        <w:t>可核验预约内容、搜索、同伴邀请与目的地合作是候选渠道。自然内容同样有制作成本；创作者伙伴并非已签供给。模型的获客开支拆到搜索、社交和创作者渠道，再扣重复及容量，保留每个来源的激活、付款、退款和交付归因。没有执行数据前，不能称为可复制渠道。</w:t>
      </w:r>
    </w:p>
    <w:p>
      <w:pPr>
        <w:pStyle w:val="SourceNote"/>
      </w:pPr>
      <w:r>
        <w:t>若免费对照达到相同可靠性且用户不增付，Trip Plan下调；若签证或授权本地内容获得更好净贡献，则重排。不靠整合更多功能回避单任务失败。</w:t>
      </w:r>
    </w:p>
    <w:p>
      <w:pPr>
        <w:pStyle w:val="Heading1"/>
        <w:pageBreakBefore/>
      </w:pPr>
      <w:r>
        <w:t>全球五年模型：收入增长仍需覆盖获客与交付成本</w:t>
      </w:r>
    </w:p>
    <w:p>
      <w:pPr>
        <w:pStyle w:val="ExhibitTitle"/>
      </w:pPr>
      <w:r>
        <w:t>Exhibit 17  基准收入、成本与现金由同一账户和旅次体系生成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FE2"/>
          <w:bottom w:val="single" w:sz="4" w:color="D7DFE2"/>
          <w:insideH w:val="single" w:sz="4" w:color="D7DFE2"/>
        </w:tblBorders>
      </w:tblPr>
      <w:tblGrid>
        <w:gridCol w:w="3231"/>
        <w:gridCol w:w="1304"/>
        <w:gridCol w:w="1304"/>
        <w:gridCol w:w="1304"/>
        <w:gridCol w:w="1304"/>
        <w:gridCol w:w="1304"/>
      </w:tblGrid>
      <w:tr>
        <w:trPr>
          <w:tblHeader/>
        </w:trPr>
        <w:tc>
          <w:tcPr>
            <w:tcW w:type="dxa" w:w="3231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百万美元，除注明外</w:t>
            </w:r>
          </w:p>
        </w:tc>
        <w:tc>
          <w:tcPr>
            <w:tcW w:type="dxa" w:w="1304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2027E</w:t>
            </w:r>
          </w:p>
        </w:tc>
        <w:tc>
          <w:tcPr>
            <w:tcW w:type="dxa" w:w="1304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2028E</w:t>
            </w:r>
          </w:p>
        </w:tc>
        <w:tc>
          <w:tcPr>
            <w:tcW w:type="dxa" w:w="1304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2029E</w:t>
            </w:r>
          </w:p>
        </w:tc>
        <w:tc>
          <w:tcPr>
            <w:tcW w:type="dxa" w:w="1304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2030E</w:t>
            </w:r>
          </w:p>
        </w:tc>
        <w:tc>
          <w:tcPr>
            <w:tcW w:type="dxa" w:w="1304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2031E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活跃账户当量／m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0.07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0.23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0.64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1.56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3.23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服务旅行组旅次／m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0.21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0.73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2.04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4.97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10.24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付费账户当量／m*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0.02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0.07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0.19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0.47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0.97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数字订阅收入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0.07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0.26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0.72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1.73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3.52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按次数字收入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0.12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0.42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1.16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2.78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5.59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预订净佣金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0.00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0.10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0.62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2.31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6.71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签证准备净收入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0.00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0.01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0.08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0.31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0.93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rPr>
                <w:b/>
              </w:rPr>
              <w:t>整合年收入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rPr>
                <w:b/>
              </w:rPr>
              <w:t>0.20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rPr>
                <w:b/>
              </w:rPr>
              <w:t>0.79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rPr>
                <w:b/>
              </w:rPr>
              <w:t>2.58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rPr>
                <w:b/>
              </w:rPr>
              <w:t>7.14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rPr>
                <w:b/>
              </w:rPr>
              <w:t>16.75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交付及平台COGS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0.16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0.40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1.04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2.55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5.57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毛利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0.04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0.39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1.54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4.59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11.18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支付／渠道费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0.03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0.11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0.31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0.76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1.59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获客预算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0.20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0.60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1.50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3.00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5.00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获客后贡献利润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-0.19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-0.32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-0.27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0.83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4.59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人员／内容／管理预算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0.90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1.50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2.50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4.00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6.00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rPr>
                <w:b/>
              </w:rPr>
              <w:t>经营预算盈余／亏损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rPr>
                <w:b/>
              </w:rPr>
              <w:t>-1.09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rPr>
                <w:b/>
              </w:rPr>
              <w:t>-1.82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rPr>
                <w:b/>
              </w:rPr>
              <w:t>-2.77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rPr>
                <w:b/>
              </w:rPr>
              <w:t>-3.17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rPr>
                <w:b/>
              </w:rPr>
              <w:t>-1.41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开发现金投入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0.10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0.15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0.20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0.25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0.30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简化经营现金流*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-1.19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-1.97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-2.97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-3.42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-1.71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SourceNote"/>
      </w:pPr>
      <w:r>
        <w:t>来源：分析师预算模型。*付费账户为退款前发生收费的等效账户，非净留存付款人数；收入扣退款。现金流为经营预算减开发投入，未含税、营运资金、利息与融资；非会计盈利预测。</w:t>
      </w:r>
    </w:p>
    <w:p>
      <w:pPr>
        <w:pStyle w:val="SourceNote"/>
      </w:pPr>
      <w:r>
        <w:t>本表为全球经营提案，含大中华区。模型预算非已发生费用；Global与大中华区不可相加。</w:t>
      </w:r>
    </w:p>
    <w:p>
      <w:pPr>
        <w:pStyle w:val="Heading1"/>
        <w:pageBreakBefore/>
      </w:pPr>
      <w:r>
        <w:t>大中华区五年模型：收入增长仍需覆盖获客与交付成本</w:t>
      </w:r>
    </w:p>
    <w:p>
      <w:pPr>
        <w:pStyle w:val="ExhibitTitle"/>
      </w:pPr>
      <w:r>
        <w:t>Exhibit 18  基准收入、成本与现金由同一账户和旅次体系生成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FE2"/>
          <w:bottom w:val="single" w:sz="4" w:color="D7DFE2"/>
          <w:insideH w:val="single" w:sz="4" w:color="D7DFE2"/>
        </w:tblBorders>
      </w:tblPr>
      <w:tblGrid>
        <w:gridCol w:w="3231"/>
        <w:gridCol w:w="1304"/>
        <w:gridCol w:w="1304"/>
        <w:gridCol w:w="1304"/>
        <w:gridCol w:w="1304"/>
        <w:gridCol w:w="1304"/>
      </w:tblGrid>
      <w:tr>
        <w:trPr>
          <w:tblHeader/>
        </w:trPr>
        <w:tc>
          <w:tcPr>
            <w:tcW w:type="dxa" w:w="3231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百万美元，除注明外</w:t>
            </w:r>
          </w:p>
        </w:tc>
        <w:tc>
          <w:tcPr>
            <w:tcW w:type="dxa" w:w="1304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2027E</w:t>
            </w:r>
          </w:p>
        </w:tc>
        <w:tc>
          <w:tcPr>
            <w:tcW w:type="dxa" w:w="1304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2028E</w:t>
            </w:r>
          </w:p>
        </w:tc>
        <w:tc>
          <w:tcPr>
            <w:tcW w:type="dxa" w:w="1304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2029E</w:t>
            </w:r>
          </w:p>
        </w:tc>
        <w:tc>
          <w:tcPr>
            <w:tcW w:type="dxa" w:w="1304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2030E</w:t>
            </w:r>
          </w:p>
        </w:tc>
        <w:tc>
          <w:tcPr>
            <w:tcW w:type="dxa" w:w="1304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2031E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活跃账户当量／m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0.04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0.15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0.42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1.05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2.26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服务旅行组旅次／m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0.15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0.49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1.37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3.45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7.33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付费账户当量／m*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0.01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0.05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0.13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0.32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0.69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数字订阅收入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0.04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0.14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0.39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0.98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2.09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按次数字收入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0.06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0.21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0.59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1.47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3.09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预订净佣金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0.00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0.06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0.36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1.41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4.23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签证准备净收入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0.00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0.01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0.05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0.18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0.57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rPr>
                <w:b/>
              </w:rPr>
              <w:t>整合年收入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rPr>
                <w:b/>
              </w:rPr>
              <w:t>0.10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rPr>
                <w:b/>
              </w:rPr>
              <w:t>0.42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rPr>
                <w:b/>
              </w:rPr>
              <w:t>1.39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rPr>
                <w:b/>
              </w:rPr>
              <w:t>4.05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rPr>
                <w:b/>
              </w:rPr>
              <w:t>9.98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交付及平台COGS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0.10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0.25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0.67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1.67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3.75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毛利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0.01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0.16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0.73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2.38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6.23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支付／渠道费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0.02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0.06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0.16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0.42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0.91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获客预算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0.12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0.36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0.90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1.80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3.00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获客后贡献利润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-0.13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-0.25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-0.33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0.16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2.32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人员／内容／管理预算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0.54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0.90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1.50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2.40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3.60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rPr>
                <w:b/>
              </w:rPr>
              <w:t>经营预算盈余／亏损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rPr>
                <w:b/>
              </w:rPr>
              <w:t>-0.67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rPr>
                <w:b/>
              </w:rPr>
              <w:t>-1.15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rPr>
                <w:b/>
              </w:rPr>
              <w:t>-1.83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rPr>
                <w:b/>
              </w:rPr>
              <w:t>-2.24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rPr>
                <w:b/>
              </w:rPr>
              <w:t>-1.28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开发现金投入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0.06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0.09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0.12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0.15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0.18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简化经营现金流*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-0.73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-1.24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-1.95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-2.39</w:t>
            </w:r>
          </w:p>
        </w:tc>
        <w:tc>
          <w:tcPr>
            <w:tcW w:type="dxa" w:w="130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-1.46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SourceNote"/>
      </w:pPr>
      <w:r>
        <w:t>来源：分析师预算模型。*付费账户为退款前发生收费的等效账户，非净留存付款人数；收入扣退款。现金流为经营预算减开发投入，未含税、营运资金、利息与融资；非会计盈利预测。</w:t>
      </w:r>
    </w:p>
    <w:p>
      <w:pPr>
        <w:pStyle w:val="SourceNote"/>
      </w:pPr>
      <w:r>
        <w:t>本表为全球经营提案中的四地子集。模型预算非已发生费用；Global与大中华区不可相加。</w:t>
      </w:r>
    </w:p>
    <w:p>
      <w:pPr>
        <w:pStyle w:val="Heading1"/>
        <w:pageBreakBefore/>
      </w:pPr>
      <w:r>
        <w:t>三情景财务并列，增长不能替代现金约束</w:t>
      </w:r>
    </w:p>
    <w:p>
      <w:pPr>
        <w:pStyle w:val="ExhibitTitle"/>
      </w:pPr>
      <w:r>
        <w:t>Exhibit 19  收入上行需要预算、支付与交付效率同时改善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192000" cy="24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ve-year-revenu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4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urceNote"/>
      </w:pPr>
      <w:r>
        <w:t>来源：模型。2027E–2031E为假设启动期；三情景同时改变预算、支付、成本与容量，非来源给出的预测区间。</w:t>
      </w:r>
    </w:p>
    <w:p>
      <w:pPr>
        <w:pStyle w:val="ExhibitTitle"/>
      </w:pPr>
      <w:r>
        <w:t>Exhibit 20  保守情景亏损持续，基准尚未达到公司层面盈亏平衡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FE2"/>
          <w:bottom w:val="single" w:sz="4" w:color="D7DFE2"/>
          <w:insideH w:val="single" w:sz="4" w:color="D7DFE2"/>
        </w:tblBorders>
      </w:tblPr>
      <w:tblGrid>
        <w:gridCol w:w="3061"/>
        <w:gridCol w:w="1757"/>
        <w:gridCol w:w="2381"/>
        <w:gridCol w:w="2551"/>
      </w:tblGrid>
      <w:tr>
        <w:trPr>
          <w:tblHeader/>
        </w:trPr>
        <w:tc>
          <w:tcPr>
            <w:tcW w:type="dxa" w:w="3061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2031E／百万美元</w:t>
            </w:r>
          </w:p>
        </w:tc>
        <w:tc>
          <w:tcPr>
            <w:tcW w:type="dxa" w:w="1757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收入</w:t>
            </w:r>
          </w:p>
        </w:tc>
        <w:tc>
          <w:tcPr>
            <w:tcW w:type="dxa" w:w="2381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经营盈余／亏损</w:t>
            </w:r>
          </w:p>
        </w:tc>
        <w:tc>
          <w:tcPr>
            <w:tcW w:type="dxa" w:w="2551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五年最低资金缺口*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全球／保守</w:t>
            </w:r>
          </w:p>
        </w:tc>
        <w:tc>
          <w:tcPr>
            <w:tcW w:type="dxa" w:w="1757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1.1</w:t>
            </w:r>
          </w:p>
        </w:tc>
        <w:tc>
          <w:tcPr>
            <w:tcW w:type="dxa" w:w="238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-7.4</w:t>
            </w:r>
          </w:p>
        </w:tc>
        <w:tc>
          <w:tcPr>
            <w:tcW w:type="dxa" w:w="255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18.3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全球／基准</w:t>
            </w:r>
          </w:p>
        </w:tc>
        <w:tc>
          <w:tcPr>
            <w:tcW w:type="dxa" w:w="1757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16.8</w:t>
            </w:r>
          </w:p>
        </w:tc>
        <w:tc>
          <w:tcPr>
            <w:tcW w:type="dxa" w:w="238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-1.4</w:t>
            </w:r>
          </w:p>
        </w:tc>
        <w:tc>
          <w:tcPr>
            <w:tcW w:type="dxa" w:w="255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11.3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全球／乐观</w:t>
            </w:r>
          </w:p>
        </w:tc>
        <w:tc>
          <w:tcPr>
            <w:tcW w:type="dxa" w:w="1757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147.8</w:t>
            </w:r>
          </w:p>
        </w:tc>
        <w:tc>
          <w:tcPr>
            <w:tcW w:type="dxa" w:w="238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96.4</w:t>
            </w:r>
          </w:p>
        </w:tc>
        <w:tc>
          <w:tcPr>
            <w:tcW w:type="dxa" w:w="255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1.0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大中华区／保守</w:t>
            </w:r>
          </w:p>
        </w:tc>
        <w:tc>
          <w:tcPr>
            <w:tcW w:type="dxa" w:w="1757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0.7</w:t>
            </w:r>
          </w:p>
        </w:tc>
        <w:tc>
          <w:tcPr>
            <w:tcW w:type="dxa" w:w="238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-4.6</w:t>
            </w:r>
          </w:p>
        </w:tc>
        <w:tc>
          <w:tcPr>
            <w:tcW w:type="dxa" w:w="255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11.2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大中华区／基准</w:t>
            </w:r>
          </w:p>
        </w:tc>
        <w:tc>
          <w:tcPr>
            <w:tcW w:type="dxa" w:w="1757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10.0</w:t>
            </w:r>
          </w:p>
        </w:tc>
        <w:tc>
          <w:tcPr>
            <w:tcW w:type="dxa" w:w="238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-1.3</w:t>
            </w:r>
          </w:p>
        </w:tc>
        <w:tc>
          <w:tcPr>
            <w:tcW w:type="dxa" w:w="255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7.8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大中华区／乐观</w:t>
            </w:r>
          </w:p>
        </w:tc>
        <w:tc>
          <w:tcPr>
            <w:tcW w:type="dxa" w:w="1757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82.5</w:t>
            </w:r>
          </w:p>
        </w:tc>
        <w:tc>
          <w:tcPr>
            <w:tcW w:type="dxa" w:w="238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52.0</w:t>
            </w:r>
          </w:p>
        </w:tc>
        <w:tc>
          <w:tcPr>
            <w:tcW w:type="dxa" w:w="255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0.9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SourceNote"/>
      </w:pPr>
      <w:r>
        <w:t>来源：模型。*缺口为简化经营现金流累计低点；未含流动性缓冲、所得税、营运资金与融资费用，不是建议融资额。</w:t>
      </w:r>
    </w:p>
    <w:p>
      <w:r>
        <w:t>乐观情景包含较低单位成本、较强支付和较高容量，数值上具备规模收益；这种同步改善需要经营证据。若只有行业需求增长而收费与分发不改善，保守情景说明低ARPU可使扩大服务量增加亏损。资金使用应与可验证里程碑绑定。</w:t>
      </w:r>
    </w:p>
    <w:p>
      <w:pPr>
        <w:pStyle w:val="Heading1"/>
        <w:pageBreakBefore/>
      </w:pPr>
      <w:r>
        <w:t>免费使用也有成本，ARPU与CAC必须同分母比较</w:t>
      </w:r>
    </w:p>
    <w:p>
      <w:pPr>
        <w:pStyle w:val="ExhibitTitle"/>
      </w:pPr>
      <w:r>
        <w:t>Exhibit 21  基准2031E单位经济显示正毛利不等于公司盈利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FE2"/>
          <w:bottom w:val="single" w:sz="4" w:color="D7DFE2"/>
          <w:insideH w:val="single" w:sz="4" w:color="D7DFE2"/>
        </w:tblBorders>
      </w:tblPr>
      <w:tblGrid>
        <w:gridCol w:w="5329"/>
        <w:gridCol w:w="2211"/>
        <w:gridCol w:w="2211"/>
      </w:tblGrid>
      <w:tr>
        <w:trPr>
          <w:tblHeader/>
        </w:trPr>
        <w:tc>
          <w:tcPr>
            <w:tcW w:type="dxa" w:w="5329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指标／单位</w:t>
            </w:r>
          </w:p>
        </w:tc>
        <w:tc>
          <w:tcPr>
            <w:tcW w:type="dxa" w:w="2211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全球</w:t>
            </w:r>
          </w:p>
        </w:tc>
        <w:tc>
          <w:tcPr>
            <w:tcW w:type="dxa" w:w="2211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大中华区</w:t>
            </w:r>
          </w:p>
        </w:tc>
      </w:tr>
      <w:tr>
        <w:trPr>
          <w:cantSplit/>
        </w:trPr>
        <w:tc>
          <w:tcPr>
            <w:tcW w:type="dxa" w:w="532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每活跃账户收入／USD</w:t>
            </w:r>
          </w:p>
        </w:tc>
        <w:tc>
          <w:tcPr>
            <w:tcW w:type="dxa" w:w="221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5.19</w:t>
            </w:r>
          </w:p>
        </w:tc>
        <w:tc>
          <w:tcPr>
            <w:tcW w:type="dxa" w:w="221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4.43</w:t>
            </w:r>
          </w:p>
        </w:tc>
      </w:tr>
      <w:tr>
        <w:trPr>
          <w:cantSplit/>
        </w:trPr>
        <w:tc>
          <w:tcPr>
            <w:tcW w:type="dxa" w:w="532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数字收入／活跃账户／USD</w:t>
            </w:r>
          </w:p>
        </w:tc>
        <w:tc>
          <w:tcPr>
            <w:tcW w:type="dxa" w:w="221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2.83</w:t>
            </w:r>
          </w:p>
        </w:tc>
        <w:tc>
          <w:tcPr>
            <w:tcW w:type="dxa" w:w="221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2.29</w:t>
            </w:r>
          </w:p>
        </w:tc>
      </w:tr>
      <w:tr>
        <w:trPr>
          <w:cantSplit/>
        </w:trPr>
        <w:tc>
          <w:tcPr>
            <w:tcW w:type="dxa" w:w="532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数字收入／收费账户当量／USD</w:t>
            </w:r>
          </w:p>
        </w:tc>
        <w:tc>
          <w:tcPr>
            <w:tcW w:type="dxa" w:w="221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9.44</w:t>
            </w:r>
          </w:p>
        </w:tc>
        <w:tc>
          <w:tcPr>
            <w:tcW w:type="dxa" w:w="221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7.54</w:t>
            </w:r>
          </w:p>
        </w:tc>
      </w:tr>
      <w:tr>
        <w:trPr>
          <w:cantSplit/>
        </w:trPr>
        <w:tc>
          <w:tcPr>
            <w:tcW w:type="dxa" w:w="532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毛利率*</w:t>
            </w:r>
          </w:p>
        </w:tc>
        <w:tc>
          <w:tcPr>
            <w:tcW w:type="dxa" w:w="221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66.7%</w:t>
            </w:r>
          </w:p>
        </w:tc>
        <w:tc>
          <w:tcPr>
            <w:tcW w:type="dxa" w:w="221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62.4%</w:t>
            </w:r>
          </w:p>
        </w:tc>
      </w:tr>
      <w:tr>
        <w:trPr>
          <w:cantSplit/>
        </w:trPr>
        <w:tc>
          <w:tcPr>
            <w:tcW w:type="dxa" w:w="532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获客后贡献率*</w:t>
            </w:r>
          </w:p>
        </w:tc>
        <w:tc>
          <w:tcPr>
            <w:tcW w:type="dxa" w:w="221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27.4%</w:t>
            </w:r>
          </w:p>
        </w:tc>
        <w:tc>
          <w:tcPr>
            <w:tcW w:type="dxa" w:w="221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23.3%</w:t>
            </w:r>
          </w:p>
        </w:tc>
      </w:tr>
      <w:tr>
        <w:trPr>
          <w:cantSplit/>
        </w:trPr>
        <w:tc>
          <w:tcPr>
            <w:tcW w:type="dxa" w:w="532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核心新增净付款账户CAC／USD*</w:t>
            </w:r>
          </w:p>
        </w:tc>
        <w:tc>
          <w:tcPr>
            <w:tcW w:type="dxa" w:w="221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11.01</w:t>
            </w:r>
          </w:p>
        </w:tc>
        <w:tc>
          <w:tcPr>
            <w:tcW w:type="dxa" w:w="221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8.42</w:t>
            </w:r>
          </w:p>
        </w:tc>
      </w:tr>
      <w:tr>
        <w:trPr>
          <w:cantSplit/>
        </w:trPr>
        <w:tc>
          <w:tcPr>
            <w:tcW w:type="dxa" w:w="532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活跃账户稳态贡献LTV／USD*</w:t>
            </w:r>
          </w:p>
        </w:tc>
        <w:tc>
          <w:tcPr>
            <w:tcW w:type="dxa" w:w="221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5.13</w:t>
            </w:r>
          </w:p>
        </w:tc>
        <w:tc>
          <w:tcPr>
            <w:tcW w:type="dxa" w:w="221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4.07</w:t>
            </w:r>
          </w:p>
        </w:tc>
      </w:tr>
      <w:tr>
        <w:trPr>
          <w:cantSplit/>
        </w:trPr>
        <w:tc>
          <w:tcPr>
            <w:tcW w:type="dxa" w:w="532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免费旅次用量成本／USDm</w:t>
            </w:r>
          </w:p>
        </w:tc>
        <w:tc>
          <w:tcPr>
            <w:tcW w:type="dxa" w:w="221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1.67</w:t>
            </w:r>
          </w:p>
        </w:tc>
        <w:tc>
          <w:tcPr>
            <w:tcW w:type="dxa" w:w="221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1.20</w:t>
            </w:r>
          </w:p>
        </w:tc>
      </w:tr>
      <w:tr>
        <w:trPr>
          <w:cantSplit/>
        </w:trPr>
        <w:tc>
          <w:tcPr>
            <w:tcW w:type="dxa" w:w="532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完整用量成本／USDm</w:t>
            </w:r>
          </w:p>
        </w:tc>
        <w:tc>
          <w:tcPr>
            <w:tcW w:type="dxa" w:w="221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2.05</w:t>
            </w:r>
          </w:p>
        </w:tc>
        <w:tc>
          <w:tcPr>
            <w:tcW w:type="dxa" w:w="221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1.47</w:t>
            </w:r>
          </w:p>
        </w:tc>
      </w:tr>
      <w:tr>
        <w:trPr>
          <w:cantSplit/>
        </w:trPr>
        <w:tc>
          <w:tcPr>
            <w:tcW w:type="dxa" w:w="532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Credits兑换成本／USDm</w:t>
            </w:r>
          </w:p>
        </w:tc>
        <w:tc>
          <w:tcPr>
            <w:tcW w:type="dxa" w:w="221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0.26</w:t>
            </w:r>
          </w:p>
        </w:tc>
        <w:tc>
          <w:tcPr>
            <w:tcW w:type="dxa" w:w="221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0.18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SourceNote"/>
      </w:pPr>
      <w:r>
        <w:t>来源：模型。*全为计划假设；CAC按退款折扣后的新增净付款账户，LTV按所有活跃账户且含平台固定COGS，分母不同，不可直接除为LTV/CAC。非成熟cohort回收期。</w:t>
      </w:r>
    </w:p>
    <w:p>
      <w:r>
        <w:t>公开token价并非全成本。Gemini2.5 Flash标准文本价为USD0.30输入／2.50输出每百万token；Qwen-plus北京档CNY0.8输入／2输出每百万token。视觉、音频、搜索grounding、地图、重试、存储、客服与编辑另计。模型将这些作为完整用量预算，再单列付款支持、Credits、扩展售后及固定平台成本。[S27–29]</w:t>
      </w:r>
    </w:p>
    <w:p>
      <w:r>
        <w:t>渠道费用亦不能机械叠加。香港Stripe本地卡标准费含比例与每笔固定额；应用商店或小程序数字支付路径另有资格和地区规则。本模型以12%／15%／18%综合现金扣费假设压力测试，未宣称Luya已享受特定商户费率。[S30]</w:t>
      </w:r>
    </w:p>
    <w:p>
      <w:r>
        <w:t>LTV是稳态年度贡献除以流失率的简化量，非已观测客户生命周期价值。年度留存、退款后真实付款人数、免费流量成本和渠道混合需共同校准；在此之前不报告虚假的实绩回收期或投资回报率。</w:t>
      </w:r>
    </w:p>
    <w:p>
      <w:pPr>
        <w:pStyle w:val="Heading1"/>
        <w:pageBreakBefore/>
      </w:pPr>
      <w:r>
        <w:t>支付与价格同时受压，基准盈利空间很薄</w:t>
      </w:r>
    </w:p>
    <w:p>
      <w:pPr>
        <w:pStyle w:val="ExhibitTitle"/>
      </w:pPr>
      <w:r>
        <w:t>Exhibit 22  支付与净价二维变化足以改变2031E经营结果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192000" cy="210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sitivity-pay-pri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1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urceNote"/>
      </w:pPr>
      <w:r>
        <w:t>来源：基准模型逐格重算。*支付倍率同时调整订阅份额与按次支付率；净价倍率调整数字及签证价，预订佣金不变。边框为基准。</w:t>
      </w:r>
    </w:p>
    <w:p>
      <w:pPr>
        <w:pStyle w:val="ExhibitTitle"/>
      </w:pPr>
      <w:r>
        <w:t>Exhibit 23  获客成本与年度返回影响收入，但交付容量可能截断上行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192000" cy="210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sitivity-cac-reten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1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urceNote"/>
      </w:pPr>
      <w:r>
        <w:t>来源：基准模型。*获客成本为每新增激活账户成本，不是付费CAC；年度返回是假设，非D30活跃。每格重算SAM／容量上限、费用与收入。</w:t>
      </w:r>
    </w:p>
    <w:p>
      <w:r>
        <w:t>二维表是条件敏感性，不是概率分布。若合同无法启用、全栈用量比预算高或免费竞争压低支付，收入与贡献将进一步下降。应先替换可观测的高杠杆参数，再扩大预算，不能用乐观情景抵消未解决的成本。</w:t>
      </w:r>
    </w:p>
    <w:p>
      <w:pPr>
        <w:pStyle w:val="Heading1"/>
        <w:pageBreakBefore/>
      </w:pPr>
      <w:r>
        <w:t>达到一亿美元年收入，需要远高于基准的有效规模</w:t>
      </w:r>
    </w:p>
    <w:p>
      <w:pPr>
        <w:pStyle w:val="ExhibitTitle"/>
      </w:pPr>
      <w:r>
        <w:t>Exhibit 24  按基准2031E收入结构反解USD100m年度收入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FE2"/>
          <w:bottom w:val="single" w:sz="4" w:color="D7DFE2"/>
          <w:insideH w:val="single" w:sz="4" w:color="D7DFE2"/>
        </w:tblBorders>
      </w:tblPr>
      <w:tblGrid>
        <w:gridCol w:w="5102"/>
        <w:gridCol w:w="2324"/>
        <w:gridCol w:w="2324"/>
      </w:tblGrid>
      <w:tr>
        <w:trPr>
          <w:tblHeader/>
        </w:trPr>
        <w:tc>
          <w:tcPr>
            <w:tcW w:type="dxa" w:w="5102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要求／同一收入组合</w:t>
            </w:r>
          </w:p>
        </w:tc>
        <w:tc>
          <w:tcPr>
            <w:tcW w:type="dxa" w:w="2324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全球</w:t>
            </w:r>
          </w:p>
        </w:tc>
        <w:tc>
          <w:tcPr>
            <w:tcW w:type="dxa" w:w="2324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大中华区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所需活跃账户当量／m</w:t>
            </w:r>
          </w:p>
        </w:tc>
        <w:tc>
          <w:tcPr>
            <w:tcW w:type="dxa" w:w="232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19.25</w:t>
            </w:r>
          </w:p>
        </w:tc>
        <w:tc>
          <w:tcPr>
            <w:tcW w:type="dxa" w:w="232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22.59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仅数字收入所需账户／m</w:t>
            </w:r>
          </w:p>
        </w:tc>
        <w:tc>
          <w:tcPr>
            <w:tcW w:type="dxa" w:w="232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35.38</w:t>
            </w:r>
          </w:p>
        </w:tc>
        <w:tc>
          <w:tcPr>
            <w:tcW w:type="dxa" w:w="232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43.58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所需旅行组旅次／m</w:t>
            </w:r>
          </w:p>
        </w:tc>
        <w:tc>
          <w:tcPr>
            <w:tcW w:type="dxa" w:w="232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61.11</w:t>
            </w:r>
          </w:p>
        </w:tc>
        <w:tc>
          <w:tcPr>
            <w:tcW w:type="dxa" w:w="232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73.40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所需预订GMV／USDm</w:t>
            </w:r>
          </w:p>
        </w:tc>
        <w:tc>
          <w:tcPr>
            <w:tcW w:type="dxa" w:w="232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1,601.2</w:t>
            </w:r>
          </w:p>
        </w:tc>
        <w:tc>
          <w:tcPr>
            <w:tcW w:type="dxa" w:w="232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1,696.0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相对基准Y5收入规模／倍</w:t>
            </w:r>
          </w:p>
        </w:tc>
        <w:tc>
          <w:tcPr>
            <w:tcW w:type="dxa" w:w="232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6.0×</w:t>
            </w:r>
          </w:p>
        </w:tc>
        <w:tc>
          <w:tcPr>
            <w:tcW w:type="dxa" w:w="232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10.0×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SourceNote"/>
      </w:pPr>
      <w:r>
        <w:t>来源：target_100m.csv。*同组合代数反解，未扩充预算、容量或验证真实需求；不是到达时间预测。</w:t>
      </w:r>
    </w:p>
    <w:p>
      <w:r>
        <w:t>一亿美元收入路径应拆成分发、支付、交付与交易归因四个问题。若仅靠数字服务，所需活跃账户更多；引入交易收入降低账户门槛，却增加合同、供应商与售后依赖。大中华区可做验证与早期收入，但不能据其大旅次数直接推导全球规模。</w:t>
      </w:r>
    </w:p>
    <w:p>
      <w:pPr>
        <w:pStyle w:val="ExhibitTitle"/>
      </w:pPr>
      <w:r>
        <w:t>Exhibit 25  规模门槛对应可核验的四项经营要求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FE2"/>
          <w:bottom w:val="single" w:sz="4" w:color="D7DFE2"/>
          <w:insideH w:val="single" w:sz="4" w:color="D7DFE2"/>
        </w:tblBorders>
      </w:tblPr>
      <w:tblGrid>
        <w:gridCol w:w="2098"/>
        <w:gridCol w:w="4252"/>
        <w:gridCol w:w="3402"/>
      </w:tblGrid>
      <w:tr>
        <w:trPr>
          <w:tblHeader/>
        </w:trPr>
        <w:tc>
          <w:tcPr>
            <w:tcW w:type="dxa" w:w="2098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扩张条件</w:t>
            </w:r>
          </w:p>
        </w:tc>
        <w:tc>
          <w:tcPr>
            <w:tcW w:type="dxa" w:w="4252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应提供的证据</w:t>
            </w:r>
          </w:p>
        </w:tc>
        <w:tc>
          <w:tcPr>
            <w:tcW w:type="dxa" w:w="3402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未通过时的模型处理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有效分发</w:t>
            </w:r>
          </w:p>
        </w:tc>
        <w:tc>
          <w:tcPr>
            <w:tcW w:type="dxa" w:w="425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渠道去重新增、成熟付款、全获客费用</w:t>
            </w:r>
          </w:p>
        </w:tc>
        <w:tc>
          <w:tcPr>
            <w:tcW w:type="dxa" w:w="340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降低新增上限／提高CPA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真实有偿需求</w:t>
            </w:r>
          </w:p>
        </w:tc>
        <w:tc>
          <w:tcPr>
            <w:tcW w:type="dxa" w:w="425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同权益报价、净实付、退款与成功交付</w:t>
            </w:r>
          </w:p>
        </w:tc>
        <w:tc>
          <w:tcPr>
            <w:tcW w:type="dxa" w:w="340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降低付款率／净价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重复成功使用</w:t>
            </w:r>
          </w:p>
        </w:tc>
        <w:tc>
          <w:tcPr>
            <w:tcW w:type="dxa" w:w="425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有第二旅机会的复用与年度cohort</w:t>
            </w:r>
          </w:p>
        </w:tc>
        <w:tc>
          <w:tcPr>
            <w:tcW w:type="dxa" w:w="340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降低返回与订阅份额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可结算交易</w:t>
            </w:r>
          </w:p>
        </w:tc>
        <w:tc>
          <w:tcPr>
            <w:tcW w:type="dxa" w:w="425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获批主体、归因、取消、实际净佣金</w:t>
            </w:r>
          </w:p>
        </w:tc>
        <w:tc>
          <w:tcPr>
            <w:tcW w:type="dxa" w:w="340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未获批扩展收入归零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SourceNote"/>
      </w:pPr>
      <w:r>
        <w:t>来源：作者分析与模型定义；并非已通过的运营指标。</w:t>
      </w:r>
    </w:p>
    <w:p>
      <w:r>
        <w:t>收入目标是年度平台净收入，不是GMV、累计收入、公司估值或用户资金流。这里没有假定为达目标可以按同样成本无限获客；容量、覆盖和内容维护均可能先成为约束。若新增地域必须重新授权与交付，国际扩张的效率也不会自动复制。</w:t>
      </w:r>
    </w:p>
    <w:p>
      <w:pPr>
        <w:pStyle w:val="Heading1"/>
        <w:pageBreakBefore/>
      </w:pPr>
      <w:r>
        <w:t>Local Friend的壁垒取决于内容增量，而非Credits数量</w:t>
      </w:r>
    </w:p>
    <w:p>
      <w:pPr>
        <w:pStyle w:val="ExhibitTitle"/>
      </w:pPr>
      <w:r>
        <w:t>Exhibit 26  内容与奖励体系应按有效使用核算，而非只统计供给量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FE2"/>
          <w:bottom w:val="single" w:sz="4" w:color="D7DFE2"/>
          <w:insideH w:val="single" w:sz="4" w:color="D7DFE2"/>
        </w:tblBorders>
      </w:tblPr>
      <w:tblGrid>
        <w:gridCol w:w="1984"/>
        <w:gridCol w:w="4139"/>
        <w:gridCol w:w="3628"/>
      </w:tblGrid>
      <w:tr>
        <w:trPr>
          <w:tblHeader/>
        </w:trPr>
        <w:tc>
          <w:tcPr>
            <w:tcW w:type="dxa" w:w="1984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经济环节</w:t>
            </w:r>
          </w:p>
        </w:tc>
        <w:tc>
          <w:tcPr>
            <w:tcW w:type="dxa" w:w="4139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应记录的经营数据</w:t>
            </w:r>
          </w:p>
        </w:tc>
        <w:tc>
          <w:tcPr>
            <w:tcW w:type="dxa" w:w="3628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通过后才支持的结论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授权采集</w:t>
            </w:r>
          </w:p>
        </w:tc>
        <w:tc>
          <w:tcPr>
            <w:tcW w:type="dxa" w:w="413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贡献者／素材权利、使用范围、撤回链</w:t>
            </w:r>
          </w:p>
        </w:tc>
        <w:tc>
          <w:tcPr>
            <w:tcW w:type="dxa" w:w="362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有权使用与持续可维护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编辑与核验</w:t>
            </w:r>
          </w:p>
        </w:tc>
        <w:tc>
          <w:tcPr>
            <w:tcW w:type="dxa" w:w="413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合格内容数、工时、事实／回忆区分</w:t>
            </w:r>
          </w:p>
        </w:tc>
        <w:tc>
          <w:tcPr>
            <w:tcW w:type="dxa" w:w="362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稳定内容成本与质量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新鲜度维护</w:t>
            </w:r>
          </w:p>
        </w:tc>
        <w:tc>
          <w:tcPr>
            <w:tcW w:type="dxa" w:w="413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营业信息更新、旧地名／现址、过期率</w:t>
            </w:r>
          </w:p>
        </w:tc>
        <w:tc>
          <w:tcPr>
            <w:tcW w:type="dxa" w:w="362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旅中可执行性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分发与调用</w:t>
            </w:r>
          </w:p>
        </w:tc>
        <w:tc>
          <w:tcPr>
            <w:tcW w:type="dxa" w:w="413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去重旅组、有效调用、被采纳建议</w:t>
            </w:r>
          </w:p>
        </w:tc>
        <w:tc>
          <w:tcPr>
            <w:tcW w:type="dxa" w:w="362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实际使用，而非库存规模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增量价值</w:t>
            </w:r>
          </w:p>
        </w:tc>
        <w:tc>
          <w:tcPr>
            <w:tcW w:type="dxa" w:w="413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同任务generic对照的支付／采用差</w:t>
            </w:r>
          </w:p>
        </w:tc>
        <w:tc>
          <w:tcPr>
            <w:tcW w:type="dxa" w:w="362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对用户有额外价值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Credits发行／兑换</w:t>
            </w:r>
          </w:p>
        </w:tc>
        <w:tc>
          <w:tcPr>
            <w:tcW w:type="dxa" w:w="413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发行、到期、兑换、滥用与被挤出现金</w:t>
            </w:r>
          </w:p>
        </w:tc>
        <w:tc>
          <w:tcPr>
            <w:tcW w:type="dxa" w:w="362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净激励成本及有偿复用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跨城复用</w:t>
            </w:r>
          </w:p>
        </w:tc>
        <w:tc>
          <w:tcPr>
            <w:tcW w:type="dxa" w:w="413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异城需求、供给可迁移性与质量</w:t>
            </w:r>
          </w:p>
        </w:tc>
        <w:tc>
          <w:tcPr>
            <w:tcW w:type="dxa" w:w="362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可能的网络效应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SourceNote"/>
      </w:pPr>
      <w:r>
        <w:t>来源：产品范围、Local Friend证据与验证设计；指标为拟议测量，未有Luya真实样本。</w:t>
      </w:r>
    </w:p>
    <w:p>
      <w:r>
        <w:t>用户可能喜爱本地人物故事，但偏好不必然转为付费。有效差异应来自公开检索难以替代的内容、可追溯人物视角，以及把故事接到真实地点与旅行任务的能力。AI合成人物不能把贡献者童年冒充自己的亲历，历史记忆也必须与当前营业和预约信息分开。</w:t>
      </w:r>
    </w:p>
    <w:p>
      <w:r>
        <w:t>完整成本包括招募、授权、访谈、整理、审核、更新、撤回和客服。模型将固定内容预算纳入人员／内容／管理，用量与Credits兑换另计；这仍是预算框架，不是已核实的每条合格素材成本。Credits面值不计收入，兑换的计算与服务资源必须付费。</w:t>
      </w:r>
    </w:p>
    <w:p>
      <w:pPr>
        <w:pStyle w:val="Heading2"/>
      </w:pPr>
      <w:r>
        <w:t>先验证一座城市，再讨论飞轮</w:t>
      </w:r>
    </w:p>
    <w:p>
      <w:r>
        <w:t>90天提议门槛为至少10位贡献者、50条去重合格内容、完整授权与撤回链，并让至少30个真实旅组做同任务对照；至少60%选择本地版本用于后续使用只是初步偏好信号。必须再证明新增净贡献覆盖采集、维护和奖励成本，才能增加Credits或扩城。</w:t>
      </w:r>
    </w:p>
    <w:p>
      <w:pPr>
        <w:pStyle w:val="Heading1"/>
        <w:pageBreakBefore/>
      </w:pPr>
      <w:r>
        <w:t>签证需求明确，行政费用不能当作平台净收入</w:t>
      </w:r>
    </w:p>
    <w:p>
      <w:pPr>
        <w:pStyle w:val="ExhibitTitle"/>
      </w:pPr>
      <w:r>
        <w:t>Exhibit 27  2025行政统计可验证需求量，但不构成统一付费客户池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FE2"/>
          <w:bottom w:val="single" w:sz="4" w:color="D7DFE2"/>
          <w:insideH w:val="single" w:sz="4" w:color="D7DFE2"/>
        </w:tblBorders>
      </w:tblPr>
      <w:tblGrid>
        <w:gridCol w:w="3005"/>
        <w:gridCol w:w="2551"/>
        <w:gridCol w:w="4195"/>
      </w:tblGrid>
      <w:tr>
        <w:trPr>
          <w:tblHeader/>
        </w:trPr>
        <w:tc>
          <w:tcPr>
            <w:tcW w:type="dxa" w:w="3005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项目</w:t>
            </w:r>
          </w:p>
        </w:tc>
        <w:tc>
          <w:tcPr>
            <w:tcW w:type="dxa" w:w="2551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数量</w:t>
            </w:r>
          </w:p>
        </w:tc>
        <w:tc>
          <w:tcPr>
            <w:tcW w:type="dxa" w:w="4195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定义与范围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申根领馆uniform申请</w:t>
            </w:r>
          </w:p>
        </w:tc>
        <w:tc>
          <w:tcPr>
            <w:tcW w:type="dxa" w:w="255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12,201,026</w:t>
            </w:r>
          </w:p>
        </w:tc>
        <w:tc>
          <w:tcPr>
            <w:tcW w:type="dxa" w:w="4195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全球申请，非休闲专属 [S31]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申根领馆uniform签发</w:t>
            </w:r>
          </w:p>
        </w:tc>
        <w:tc>
          <w:tcPr>
            <w:tcW w:type="dxa" w:w="255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10,265,942</w:t>
            </w:r>
          </w:p>
        </w:tc>
        <w:tc>
          <w:tcPr>
            <w:tcW w:type="dxa" w:w="4195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不是申请总量的另一份需求 [S31]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申根／CHINA领馆申请</w:t>
            </w:r>
          </w:p>
        </w:tc>
        <w:tc>
          <w:tcPr>
            <w:tcW w:type="dxa" w:w="255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1,915,149</w:t>
            </w:r>
          </w:p>
        </w:tc>
        <w:tc>
          <w:tcPr>
            <w:tcW w:type="dxa" w:w="4195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申请地点，非中国籍／大陆居民 [S31]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申根／HK／MO／TW申请</w:t>
            </w:r>
          </w:p>
        </w:tc>
        <w:tc>
          <w:tcPr>
            <w:tcW w:type="dxa" w:w="255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15,954／343／1,728</w:t>
            </w:r>
          </w:p>
        </w:tc>
        <w:tc>
          <w:tcPr>
            <w:tcW w:type="dxa" w:w="4195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各领馆所在地，非本地证件人数 [S31]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日本全部签发</w:t>
            </w:r>
          </w:p>
        </w:tc>
        <w:tc>
          <w:tcPr>
            <w:tcW w:type="dxa" w:w="255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7,862,060</w:t>
            </w:r>
          </w:p>
        </w:tc>
        <w:tc>
          <w:tcPr>
            <w:tcW w:type="dxa" w:w="4195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国籍／目的混合，非独立申请人 [S32]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英国Visitor签发</w:t>
            </w:r>
          </w:p>
        </w:tc>
        <w:tc>
          <w:tcPr>
            <w:tcW w:type="dxa" w:w="255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约2.2m</w:t>
            </w:r>
          </w:p>
        </w:tc>
        <w:tc>
          <w:tcPr>
            <w:tcW w:type="dxa" w:w="4195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含非休闲；来源舍入 [S33]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英国Chinese nationals</w:t>
            </w:r>
          </w:p>
        </w:tc>
        <w:tc>
          <w:tcPr>
            <w:tcW w:type="dxa" w:w="255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472,510</w:t>
            </w:r>
          </w:p>
        </w:tc>
        <w:tc>
          <w:tcPr>
            <w:tcW w:type="dxa" w:w="4195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国籍口径，非居住地 [S33]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SourceNote"/>
      </w:pPr>
      <w:r>
        <w:t>来源：S31–33；不得合并不同申请／签发单位为Global或大中华独立客户。美国FY2025旅游专属分类量仍未取得可用原表。</w:t>
      </w:r>
    </w:p>
    <w:p>
      <w:pPr>
        <w:pStyle w:val="ExhibitTitle"/>
      </w:pPr>
      <w:r>
        <w:t>Exhibit 28  政府费用仅作需求背景，净材料服务价另行测试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FE2"/>
          <w:bottom w:val="single" w:sz="4" w:color="D7DFE2"/>
          <w:insideH w:val="single" w:sz="4" w:color="D7DFE2"/>
        </w:tblBorders>
      </w:tblPr>
      <w:tblGrid>
        <w:gridCol w:w="3005"/>
        <w:gridCol w:w="2551"/>
        <w:gridCol w:w="4195"/>
      </w:tblGrid>
      <w:tr>
        <w:trPr>
          <w:tblHeader/>
        </w:trPr>
        <w:tc>
          <w:tcPr>
            <w:tcW w:type="dxa" w:w="3005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政府费组件</w:t>
            </w:r>
          </w:p>
        </w:tc>
        <w:tc>
          <w:tcPr>
            <w:tcW w:type="dxa" w:w="2551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已核参考</w:t>
            </w:r>
          </w:p>
        </w:tc>
        <w:tc>
          <w:tcPr>
            <w:tcW w:type="dxa" w:w="4195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Luya模型处理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美国B类申请</w:t>
            </w:r>
          </w:p>
        </w:tc>
        <w:tc>
          <w:tcPr>
            <w:tcW w:type="dxa" w:w="255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USD185</w:t>
            </w:r>
          </w:p>
        </w:tc>
        <w:tc>
          <w:tcPr>
            <w:tcW w:type="dxa" w:w="4195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代收政府款排除，非全包价 [S34]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英国6个月Visitor</w:t>
            </w:r>
          </w:p>
        </w:tc>
        <w:tc>
          <w:tcPr>
            <w:tcW w:type="dxa" w:w="255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GBP135</w:t>
            </w:r>
          </w:p>
        </w:tc>
        <w:tc>
          <w:tcPr>
            <w:tcW w:type="dxa" w:w="4195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排除；材料服务另计 [S35]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申根成人通常费</w:t>
            </w:r>
          </w:p>
        </w:tc>
        <w:tc>
          <w:tcPr>
            <w:tcW w:type="dxa" w:w="255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EUR90</w:t>
            </w:r>
          </w:p>
        </w:tc>
        <w:tc>
          <w:tcPr>
            <w:tcW w:type="dxa" w:w="4195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排除；资格／豁免另核 [S36]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iVisa US ESTA总价</w:t>
            </w:r>
          </w:p>
        </w:tc>
        <w:tc>
          <w:tcPr>
            <w:tcW w:type="dxa" w:w="255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from USD129.99</w:t>
            </w:r>
          </w:p>
        </w:tc>
        <w:tc>
          <w:tcPr>
            <w:tcW w:type="dxa" w:w="4195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不采用作净辅助ASP [S37]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SourceNote"/>
      </w:pPr>
      <w:r>
        <w:t>来源：S34–37；截至来源提取日的条件参考，非执行日收费指南。</w:t>
      </w:r>
    </w:p>
    <w:p>
      <w:r>
        <w:t>签证准备适合以材料清单、一致性检查和用户确认后的文件输出定义交付。四地证件对应美国、日本、英国、申根的16条Luya服务路线均仍为规划／未验证；官方资格规则不代表平台已有递交授权或全领区服务能力。</w:t>
      </w:r>
    </w:p>
    <w:p>
      <w:r>
        <w:t>模型以旅次相关的签证任务需求率和购买率假设估算扩展收入，未将上述签发数拼成共同分母。既有长期签证、授权有效期、重复申请及目的差异应在真实cohort中重估；同一旅客不能每次出行都机械购买新签证服务。</w:t>
      </w:r>
    </w:p>
    <w:p>
      <w:pPr>
        <w:pStyle w:val="Heading1"/>
        <w:pageBreakBefore/>
      </w:pPr>
      <w:r>
        <w:t>最强反方：AI价值被入口捕获，Luya承担履约成本</w:t>
      </w:r>
    </w:p>
    <w:p>
      <w:pPr>
        <w:pStyle w:val="ExhibitTitle"/>
      </w:pPr>
      <w:r>
        <w:t>Exhibit 29  把风险映射到财务变量与明确反证，而非泛化风险清单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FE2"/>
          <w:bottom w:val="single" w:sz="4" w:color="D7DFE2"/>
          <w:insideH w:val="single" w:sz="4" w:color="D7DFE2"/>
        </w:tblBorders>
      </w:tblPr>
      <w:tblGrid>
        <w:gridCol w:w="1871"/>
        <w:gridCol w:w="2721"/>
        <w:gridCol w:w="5159"/>
      </w:tblGrid>
      <w:tr>
        <w:trPr>
          <w:tblHeader/>
        </w:trPr>
        <w:tc>
          <w:tcPr>
            <w:tcW w:type="dxa" w:w="1871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风险</w:t>
            </w:r>
          </w:p>
        </w:tc>
        <w:tc>
          <w:tcPr>
            <w:tcW w:type="dxa" w:w="2721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模型暴露</w:t>
            </w:r>
          </w:p>
        </w:tc>
        <w:tc>
          <w:tcPr>
            <w:tcW w:type="dxa" w:w="5159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需要观察的反证／行动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免费替代压低支付</w:t>
            </w:r>
          </w:p>
        </w:tc>
        <w:tc>
          <w:tcPr>
            <w:tcW w:type="dxa" w:w="272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品类采用、按次率、订阅价</w:t>
            </w:r>
          </w:p>
        </w:tc>
        <w:tc>
          <w:tcPr>
            <w:tcW w:type="dxa" w:w="515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同任务免费对照无增量支付→缩任务或换切口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高意图流量仍昂贵</w:t>
            </w:r>
          </w:p>
        </w:tc>
        <w:tc>
          <w:tcPr>
            <w:tcW w:type="dxa" w:w="272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激活CPA、付款CAC、预算</w:t>
            </w:r>
          </w:p>
        </w:tc>
        <w:tc>
          <w:tcPr>
            <w:tcW w:type="dxa" w:w="515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全获客投入无法被成熟cohort贡献覆盖→不扩投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实时信息不可靠</w:t>
            </w:r>
          </w:p>
        </w:tc>
        <w:tc>
          <w:tcPr>
            <w:tcW w:type="dxa" w:w="272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退款、支持、交付容量</w:t>
            </w:r>
          </w:p>
        </w:tc>
        <w:tc>
          <w:tcPr>
            <w:tcW w:type="dxa" w:w="515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严重预约／材料错误→停受影响功能、修复复验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全年使用低频</w:t>
            </w:r>
          </w:p>
        </w:tc>
        <w:tc>
          <w:tcPr>
            <w:tcW w:type="dxa" w:w="272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账户年度返回、订阅续费</w:t>
            </w:r>
          </w:p>
        </w:tc>
        <w:tc>
          <w:tcPr>
            <w:tcW w:type="dxa" w:w="515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第二旅未复用→重定按次模式，不能填高留存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内容不形成差异</w:t>
            </w:r>
          </w:p>
        </w:tc>
        <w:tc>
          <w:tcPr>
            <w:tcW w:type="dxa" w:w="272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Local Friend价值、内容预算</w:t>
            </w:r>
          </w:p>
        </w:tc>
        <w:tc>
          <w:tcPr>
            <w:tcW w:type="dxa" w:w="515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授权本地版本无增量→停止扩大内容激励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佣金／服务无法启用</w:t>
            </w:r>
          </w:p>
        </w:tc>
        <w:tc>
          <w:tcPr>
            <w:tcW w:type="dxa" w:w="272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booking／visa净收入</w:t>
            </w:r>
          </w:p>
        </w:tc>
        <w:tc>
          <w:tcPr>
            <w:tcW w:type="dxa" w:w="515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无实际合同或可交付范围→扩展收入归零重跑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多模态／人工尾部高</w:t>
            </w:r>
          </w:p>
        </w:tc>
        <w:tc>
          <w:tcPr>
            <w:tcW w:type="dxa" w:w="272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完整COGS、成本／成功任务</w:t>
            </w:r>
          </w:p>
        </w:tc>
        <w:tc>
          <w:tcPr>
            <w:tcW w:type="dxa" w:w="515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实际用量与例外工时超预算→限额、重定价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SourceNote"/>
      </w:pPr>
      <w:r>
        <w:t>来源：模型驱动与竞争证据；反证为拟议经营决策，不是已发生事件。</w:t>
      </w:r>
    </w:p>
    <w:p>
      <w:r>
        <w:t>最强bear case是旅行AI成为OTA、地图、通用AI与相机的免费功能：Luya支付流量、核验、支持与内容成本，真正交易利润留给供应商。用户每次出行重新选择工具，功能整合未产生有偿复用；故事内容虽受欢迎，维护成本却高于新增收入。</w:t>
      </w:r>
    </w:p>
    <w:p>
      <w:r>
        <w:t>基准模型仍亏损，与这个反方并不矛盾。机会在于用有限服务范围和完整成本记录识别可盈利任务，而不是依赖2030行业增长自动消化亏损。若两个事前定义版本都无法通过支付、可靠性和贡献门，应停止原切口扩张或改变商业模式。</w:t>
      </w:r>
    </w:p>
    <w:p>
      <w:r>
        <w:t>当前最重要的未知仍是真实净支付、成功任务全成本、渠道容量、成熟年度留存、Luya合同和可维护内容。它们已被可编辑假设替代以形成完整情景表，但没有因为模型有数字而变成已知事实。</w:t>
      </w:r>
    </w:p>
    <w:p>
      <w:pPr>
        <w:pStyle w:val="Heading1"/>
        <w:pageBreakBefore/>
      </w:pPr>
      <w:r>
        <w:t>90天以净支付与全成本贡献决定是否进入扩城</w:t>
      </w:r>
    </w:p>
    <w:p>
      <w:pPr>
        <w:pStyle w:val="ExhibitTitle"/>
      </w:pPr>
      <w:r>
        <w:t>Exhibit 30  验证顺序覆盖交付、支付、内容与再旅行，尚未执行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FE2"/>
          <w:bottom w:val="single" w:sz="4" w:color="D7DFE2"/>
          <w:insideH w:val="single" w:sz="4" w:color="D7DFE2"/>
        </w:tblBorders>
      </w:tblPr>
      <w:tblGrid>
        <w:gridCol w:w="1361"/>
        <w:gridCol w:w="4309"/>
        <w:gridCol w:w="4082"/>
      </w:tblGrid>
      <w:tr>
        <w:trPr>
          <w:tblHeader/>
        </w:trPr>
        <w:tc>
          <w:tcPr>
            <w:tcW w:type="dxa" w:w="1361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阶段</w:t>
            </w:r>
          </w:p>
        </w:tc>
        <w:tc>
          <w:tcPr>
            <w:tcW w:type="dxa" w:w="4309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关键工作</w:t>
            </w:r>
          </w:p>
        </w:tc>
        <w:tc>
          <w:tcPr>
            <w:tcW w:type="dxa" w:w="4082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拟议通过门槛*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D1–14</w:t>
            </w:r>
          </w:p>
        </w:tc>
        <w:tc>
          <w:tcPr>
            <w:tcW w:type="dxa" w:w="430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锁定服务、客源、目的地、权益／价格版本；质量任务集</w:t>
            </w:r>
          </w:p>
        </w:tc>
        <w:tc>
          <w:tcPr>
            <w:tcW w:type="dxa" w:w="408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100任务；严重错误0，成功率≥95%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D15–35</w:t>
            </w:r>
          </w:p>
        </w:tc>
        <w:tc>
          <w:tcPr>
            <w:tcW w:type="dxa" w:w="430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两市场×两价格，各格独立招募与去重</w:t>
            </w:r>
          </w:p>
        </w:tc>
        <w:tc>
          <w:tcPr>
            <w:tcW w:type="dxa" w:w="408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每格≥300；成熟净付款率下界&gt;5%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D36–60</w:t>
            </w:r>
          </w:p>
        </w:tc>
        <w:tc>
          <w:tcPr>
            <w:tcW w:type="dxa" w:w="430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与免费工具同任务随机对照、盲评</w:t>
            </w:r>
          </w:p>
        </w:tc>
        <w:tc>
          <w:tcPr>
            <w:tcW w:type="dxa" w:w="408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时间改善中位数≥20%，关键成功率不降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D36–75</w:t>
            </w:r>
          </w:p>
        </w:tc>
        <w:tc>
          <w:tcPr>
            <w:tcW w:type="dxa" w:w="430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全免费／付费调用、人工、税、渠道、Credits与退款</w:t>
            </w:r>
          </w:p>
        </w:tc>
        <w:tc>
          <w:tcPr>
            <w:tcW w:type="dxa" w:w="408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获客前贡献率≥30%；贡献≥1.2×获客支出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D45–80</w:t>
            </w:r>
          </w:p>
        </w:tc>
        <w:tc>
          <w:tcPr>
            <w:tcW w:type="dxa" w:w="430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单城授权内容与generic对照</w:t>
            </w:r>
          </w:p>
        </w:tc>
        <w:tc>
          <w:tcPr>
            <w:tcW w:type="dxa" w:w="408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10贡献者／50条；30旅组，≥60%后续选择本地版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D61–90</w:t>
            </w:r>
          </w:p>
        </w:tc>
        <w:tc>
          <w:tcPr>
            <w:tcW w:type="dxa" w:w="430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已知有第二旅机会的成熟cohort</w:t>
            </w:r>
          </w:p>
        </w:tc>
        <w:tc>
          <w:tcPr>
            <w:tcW w:type="dxa" w:w="408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≥30合资格组；有偿再用≥20%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D76–90</w:t>
            </w:r>
          </w:p>
        </w:tc>
        <w:tc>
          <w:tcPr>
            <w:tcW w:type="dxa" w:w="430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按客源／渠道／版本合并判断</w:t>
            </w:r>
          </w:p>
        </w:tc>
        <w:tc>
          <w:tcPr>
            <w:tcW w:type="dxa" w:w="408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支付、交付、经济与权利各门齐备才有限扩城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SourceNote"/>
      </w:pPr>
      <w:r>
        <w:t>来源：validation-design-current.json。*分析师经营门槛，非行业常数。所有样本、广告、收费及访谈均未执行；实际试验需另行预算与预注册。</w:t>
      </w:r>
    </w:p>
    <w:p>
      <w:r>
        <w:t>支付格按“市场×锁定价格×版本”分别计算，不将两个150组拼为一个300组后宣告某个价有效。四个预设格使用Bonferroni名义家族95%设计与每格Wilson近似下界；300是可行性最低目标，不是功效结论。增加格数、版本或中途查看规则须先重新锁定。</w:t>
      </w:r>
    </w:p>
    <w:p>
      <w:r>
        <w:t>退款、未完成和失访须按事前窗口留在结果记录，不能删除以提高转化。旅行组付款率不能直接乘人旅次；需建立组、同行人事件、行程链、账户、订单和权益唯一关系。90天复用也不能代替年度返回或续订率。</w:t>
      </w:r>
    </w:p>
    <w:p>
      <w:r>
        <w:t>顺序上先过服务与统计设计门，再做真实支付；随后记录全cohort贡献与成本尾部。没有成熟第二旅时保留留存未知。通过小规模验证只支持同一招募范围与交付条件，不自动证明全国或全球市场可复制。</w:t>
      </w:r>
    </w:p>
    <w:p>
      <w:pPr>
        <w:pStyle w:val="Heading1"/>
        <w:pageBreakBefore/>
      </w:pPr>
      <w:r>
        <w:t>附录A｜关键假设集中披露，情景不是概率区间</w:t>
      </w:r>
    </w:p>
    <w:p>
      <w:pPr>
        <w:pStyle w:val="ExhibitTitle"/>
      </w:pPr>
      <w:r>
        <w:t>Exhibit 31  所有支付与经营参数可编辑，均未使用Luya实测业绩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FE2"/>
          <w:bottom w:val="single" w:sz="4" w:color="D7DFE2"/>
          <w:insideH w:val="single" w:sz="4" w:color="D7DFE2"/>
        </w:tblBorders>
      </w:tblPr>
      <w:tblGrid>
        <w:gridCol w:w="4139"/>
        <w:gridCol w:w="1871"/>
        <w:gridCol w:w="1871"/>
        <w:gridCol w:w="1871"/>
      </w:tblGrid>
      <w:tr>
        <w:trPr>
          <w:tblHeader/>
        </w:trPr>
        <w:tc>
          <w:tcPr>
            <w:tcW w:type="dxa" w:w="4139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参数*</w:t>
            </w:r>
          </w:p>
        </w:tc>
        <w:tc>
          <w:tcPr>
            <w:tcW w:type="dxa" w:w="1871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保守</w:t>
            </w:r>
          </w:p>
        </w:tc>
        <w:tc>
          <w:tcPr>
            <w:tcW w:type="dxa" w:w="1871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基准</w:t>
            </w:r>
          </w:p>
        </w:tc>
        <w:tc>
          <w:tcPr>
            <w:tcW w:type="dxa" w:w="1871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乐观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全球单旅次支出／USD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500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350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250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品类采用率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20%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40%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60%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年订阅账户比例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1.5%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4.0%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8.0%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非订阅旅次付费率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4%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10%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18%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总体年旅行频次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2.5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3.0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3.5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订阅者年旅行频次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6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7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8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平均付款组人数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1.9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1.7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1.5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退款率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8%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5%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3%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相对基准报价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0.70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1.00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1.35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预订attachment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4%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10%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18%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完成／结算比例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75%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85%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92%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预订净佣金率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1.5%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2.5%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4.0%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签证相关任务购买率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12%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22%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32%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年度账户返回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22%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42%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62%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用量COGS／旅组旅次／USD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0.32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0.20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0.13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收费账户支持成本／USD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1.25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0.85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0.60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支付渠道综合费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18%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15%</w:t>
            </w:r>
          </w:p>
        </w:tc>
        <w:tc>
          <w:tcPr>
            <w:tcW w:type="dxa" w:w="187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  <w:jc w:val="right"/>
            </w:pPr>
            <w:r>
              <w:t>12%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SourceNote"/>
      </w:pPr>
      <w:r>
        <w:t>来源：integrated-scenario-assumptions.json。*全部为分析师假设；地域频次乘数及完整费用细目在支持文件，不以公开标价替代实际用量。</w:t>
      </w:r>
    </w:p>
    <w:p>
      <w:pPr>
        <w:pStyle w:val="SourceNote"/>
      </w:pPr>
      <w:r>
        <w:t>联合资格*：大陆16/26/38%，台湾25/35/50%，ROW15/25/38%；港澳在先折边境事件后评估FIT／移动可达。最终香港旅游目的15/25/40%、澳门4/7/10%，较探索稿部分建议窄；跨境链1.30/1.15/1.05目的地。完整理由见integrated-model-methodology。情景非概率区间，保守值也非需求下界，实际收入仍可为零。</w:t>
      </w:r>
    </w:p>
    <w:p>
      <w:pPr>
        <w:pStyle w:val="Heading1"/>
        <w:pageBreakBefore/>
      </w:pPr>
      <w:r>
        <w:t>附录B｜公式、币种与证据等级保证可复算</w:t>
      </w:r>
    </w:p>
    <w:p>
      <w:pPr>
        <w:pStyle w:val="ExhibitTitle"/>
      </w:pPr>
      <w:r>
        <w:t>Exhibit 32  核心公式以同单位输入连接到可编辑模型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FE2"/>
          <w:bottom w:val="single" w:sz="4" w:color="D7DFE2"/>
          <w:insideH w:val="single" w:sz="4" w:color="D7DFE2"/>
        </w:tblBorders>
      </w:tblPr>
      <w:tblGrid>
        <w:gridCol w:w="2551"/>
        <w:gridCol w:w="7200"/>
      </w:tblGrid>
      <w:tr>
        <w:trPr>
          <w:tblHeader/>
        </w:trPr>
        <w:tc>
          <w:tcPr>
            <w:tcW w:type="dxa" w:w="2551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计算项</w:t>
            </w:r>
          </w:p>
        </w:tc>
        <w:tc>
          <w:tcPr>
            <w:tcW w:type="dxa" w:w="7200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公式／口径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全球国内旅次当量</w:t>
            </w:r>
          </w:p>
        </w:tc>
        <w:tc>
          <w:tcPr>
            <w:tcW w:type="dxa" w:w="7200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WTTC国内消费 ÷ 假设单次支出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客源年度账户当量</w:t>
            </w:r>
          </w:p>
        </w:tc>
        <w:tc>
          <w:tcPr>
            <w:tcW w:type="dxa" w:w="7200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旅次当量 × 联合资格 ÷ 同行规模 ÷ 年旅行频次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品类活跃账户</w:t>
            </w:r>
          </w:p>
        </w:tc>
        <w:tc>
          <w:tcPr>
            <w:tcW w:type="dxa" w:w="7200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年度账户当量 × 品类采用率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数字收入</w:t>
            </w:r>
          </w:p>
        </w:tc>
        <w:tc>
          <w:tcPr>
            <w:tcW w:type="dxa" w:w="7200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订阅账户 × 年净价 + 剩余旅次 × 付费率 × 单次净价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预订收入</w:t>
            </w:r>
          </w:p>
        </w:tc>
        <w:tc>
          <w:tcPr>
            <w:tcW w:type="dxa" w:w="7200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旅组旅次 × attachment × 合资格GMV × 结算率 × 净佣金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签证准备收入</w:t>
            </w:r>
          </w:p>
        </w:tc>
        <w:tc>
          <w:tcPr>
            <w:tcW w:type="dxa" w:w="7200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旅组旅次 × 相关任务率 × 购买率 × 净辅助服务价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近端／扩展SAM</w:t>
            </w:r>
          </w:p>
        </w:tc>
        <w:tc>
          <w:tcPr>
            <w:tcW w:type="dxa" w:w="7200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按客源可变现TAM × 联合覆盖比例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下一年活跃账户</w:t>
            </w:r>
          </w:p>
        </w:tc>
        <w:tc>
          <w:tcPr>
            <w:tcW w:type="dxa" w:w="7200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min(留存账户 + 去重新增，SAM账户上限，交付容量)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获客后贡献利润</w:t>
            </w:r>
          </w:p>
        </w:tc>
        <w:tc>
          <w:tcPr>
            <w:tcW w:type="dxa" w:w="7200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收入 − 全部COGS − 支付渠道费 − 获客预算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简化现金流／资金缺口</w:t>
            </w:r>
          </w:p>
        </w:tc>
        <w:tc>
          <w:tcPr>
            <w:tcW w:type="dxa" w:w="7200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经营预算 − 开发投入；跟踪历年累计最低点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SourceNote"/>
      </w:pPr>
      <w:r>
        <w:t>来源：models/integrated_market_model.py；完整可复算CSV／JSON与假设ID在支持包。</w:t>
      </w:r>
    </w:p>
    <w:p>
      <w:pPr>
        <w:pStyle w:val="ExhibitTitle"/>
      </w:pPr>
      <w:r>
        <w:t>Exhibit 33  不同证据等级不以脚注混成同一精度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FE2"/>
          <w:bottom w:val="single" w:sz="4" w:color="D7DFE2"/>
          <w:insideH w:val="single" w:sz="4" w:color="D7DFE2"/>
        </w:tblBorders>
      </w:tblPr>
      <w:tblGrid>
        <w:gridCol w:w="2268"/>
        <w:gridCol w:w="3685"/>
        <w:gridCol w:w="3798"/>
      </w:tblGrid>
      <w:tr>
        <w:trPr>
          <w:tblHeader/>
        </w:trPr>
        <w:tc>
          <w:tcPr>
            <w:tcW w:type="dxa" w:w="2268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等级</w:t>
            </w:r>
          </w:p>
        </w:tc>
        <w:tc>
          <w:tcPr>
            <w:tcW w:type="dxa" w:w="3685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本报告用法</w:t>
            </w:r>
          </w:p>
        </w:tc>
        <w:tc>
          <w:tcPr>
            <w:tcW w:type="dxa" w:w="3798"/>
            <w:shd w:fill="EBF0F2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Head"/>
            </w:pPr>
            <w:r>
              <w:t>可信边界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来源事实／A–B</w:t>
            </w:r>
          </w:p>
        </w:tc>
        <w:tc>
          <w:tcPr>
            <w:tcW w:type="dxa" w:w="3685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官方统计、公开财务与价目</w:t>
            </w:r>
          </w:p>
        </w:tc>
        <w:tc>
          <w:tcPr>
            <w:tcW w:type="dxa" w:w="379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按原定义引用，来源估计仍是估计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来源派生／B–C</w:t>
            </w:r>
          </w:p>
        </w:tc>
        <w:tc>
          <w:tcPr>
            <w:tcW w:type="dxa" w:w="3685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同表除法、费用与比例核对</w:t>
            </w:r>
          </w:p>
        </w:tc>
        <w:tc>
          <w:tcPr>
            <w:tcW w:type="dxa" w:w="379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继承原表口径／舍入限制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分析师估计／C–D</w:t>
            </w:r>
          </w:p>
        </w:tc>
        <w:tc>
          <w:tcPr>
            <w:tcW w:type="dxa" w:w="3685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TAM／SAM／SOM、财务与敏感性</w:t>
            </w:r>
          </w:p>
        </w:tc>
        <w:tc>
          <w:tcPr>
            <w:tcW w:type="dxa" w:w="379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低置信度；可复算不等于需求被验证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投资判断／待验证</w:t>
            </w:r>
          </w:p>
        </w:tc>
        <w:tc>
          <w:tcPr>
            <w:tcW w:type="dxa" w:w="3685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切口优先、扩城与反证门</w:t>
            </w:r>
          </w:p>
        </w:tc>
        <w:tc>
          <w:tcPr>
            <w:tcW w:type="dxa" w:w="3798"/>
            <w:vAlign w:val="center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pStyle w:val="TableText"/>
              <w:spacing w:after="80" w:before="80"/>
            </w:pPr>
            <w:r>
              <w:t>可被实际任务与商业结果推翻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SourceNote"/>
      </w:pPr>
      <w:r>
        <w:t>置信等级为研究判断，不是统计置信概率。重大不确定性在摘要与相关正文明确，附录保留完整解释。</w:t>
      </w:r>
    </w:p>
    <w:p>
      <w:pPr>
        <w:pStyle w:val="SourceNote"/>
      </w:pPr>
      <w:r>
        <w:t>FX固定2026-10-23：CNY6.6702、HKD7.8423、TWD32.5400／USD；MOP由HKD×1.03假设推导。2025数量×2026价为静态市场估计，非物价平减后官方2025收入；美国不变美元支出仅校准旅次代理。分项与合计或有四舍五入尾差。</w:t>
      </w:r>
    </w:p>
    <w:p>
      <w:pPr>
        <w:pStyle w:val="SourceNote"/>
      </w:pPr>
      <w:r>
        <w:t>支持证据保留URL、发布／修订日、观察期、地理、单位与提取日。本次整合模型另有独立AI复核，非会计／法律外部鉴证。公开机构报告只作质量参考，未使用其品牌或模板。</w:t>
      </w:r>
    </w:p>
    <w:p>
      <w:pPr>
        <w:pStyle w:val="Heading1"/>
        <w:pageBreakBefore/>
      </w:pPr>
      <w:r>
        <w:t>附录C｜来源索引（1–11）</w:t>
      </w:r>
    </w:p>
    <w:p>
      <w:pPr>
        <w:pStyle w:val="ExhibitTitle"/>
      </w:pPr>
      <w:r>
        <w:t>S01  UN Tourism｜2025国际到访，2026年9月版</w:t>
      </w:r>
    </w:p>
    <w:p>
      <w:pPr>
        <w:pStyle w:val="SourceNote"/>
      </w:pPr>
      <w:r>
        <w:t>发布：2026-09-17；提取：2026-10-29。2025；2026-10-08修订；provisional。</w:t>
      </w:r>
      <w:hyperlink r:id="rId15">
        <w:r>
          <w:rPr>
            <w:color w:val="5C6670"/>
            <w:sz w:val="17"/>
          </w:rPr>
          <w:t>  原文</w:t>
        </w:r>
      </w:hyperlink>
    </w:p>
    <w:p>
      <w:pPr>
        <w:pStyle w:val="ExhibitTitle"/>
      </w:pPr>
      <w:r>
        <w:t>S02  文旅部｜2025年文化和旅游发展统计公报</w:t>
      </w:r>
    </w:p>
    <w:p>
      <w:pPr>
        <w:pStyle w:val="SourceNote"/>
      </w:pPr>
      <w:r>
        <w:t>发布：2026-06-02；提取：2026-10-29。2025；人次与人民币消费。</w:t>
      </w:r>
      <w:hyperlink r:id="rId16">
        <w:r>
          <w:rPr>
            <w:color w:val="5C6670"/>
            <w:sz w:val="17"/>
          </w:rPr>
          <w:t>  原文</w:t>
        </w:r>
      </w:hyperlink>
    </w:p>
    <w:p>
      <w:pPr>
        <w:pStyle w:val="ExhibitTitle"/>
      </w:pPr>
      <w:r>
        <w:t>S03  WTTC／Oxford Economics｜Economic Impact Research</w:t>
      </w:r>
    </w:p>
    <w:p>
      <w:pPr>
        <w:pStyle w:val="SourceNote"/>
      </w:pPr>
      <w:r>
        <w:t>发布：未标具体日期；提取：2026-10-30。2025模型估计；网页发布日期未标。</w:t>
      </w:r>
      <w:hyperlink r:id="rId17">
        <w:r>
          <w:rPr>
            <w:color w:val="5C6670"/>
            <w:sz w:val="17"/>
          </w:rPr>
          <w:t>  原文</w:t>
        </w:r>
      </w:hyperlink>
    </w:p>
    <w:p>
      <w:pPr>
        <w:pStyle w:val="ExhibitTitle"/>
      </w:pPr>
      <w:r>
        <w:t>S04  U.S. Travel／Tourism Economics｜Spring 2026 forecast</w:t>
      </w:r>
    </w:p>
    <w:p>
      <w:pPr>
        <w:pStyle w:val="SourceNote"/>
      </w:pPr>
      <w:r>
        <w:t>发布：2026-05-07；提取：2026-10-30。2025 ACTUAL栏；2025不变美元。</w:t>
      </w:r>
      <w:hyperlink r:id="rId18">
        <w:r>
          <w:rPr>
            <w:color w:val="5C6670"/>
            <w:sz w:val="17"/>
          </w:rPr>
          <w:t>  原文</w:t>
        </w:r>
      </w:hyperlink>
    </w:p>
    <w:p>
      <w:pPr>
        <w:pStyle w:val="ExhibitTitle"/>
      </w:pPr>
      <w:r>
        <w:t>S05  Eurostat｜Tourism trips and expenditure in 2025</w:t>
      </w:r>
    </w:p>
    <w:p>
      <w:pPr>
        <w:pStyle w:val="SourceNote"/>
      </w:pPr>
      <w:r>
        <w:t>发布：2026-10-09；提取：2026-10-30。2025；15岁以上居民过夜旅次。</w:t>
      </w:r>
      <w:hyperlink r:id="rId19">
        <w:r>
          <w:rPr>
            <w:color w:val="5C6670"/>
            <w:sz w:val="17"/>
          </w:rPr>
          <w:t>  原文</w:t>
        </w:r>
      </w:hyperlink>
    </w:p>
    <w:p>
      <w:pPr>
        <w:pStyle w:val="ExhibitTitle"/>
      </w:pPr>
      <w:r>
        <w:t>S06  台湾观光署｜114年台湾旅游状况调查</w:t>
      </w:r>
    </w:p>
    <w:p>
      <w:pPr>
        <w:pStyle w:val="SourceNote"/>
      </w:pPr>
      <w:r>
        <w:t>发布：2026-08-03；提取：2026-10-29。2025；12岁以上国民国内旅次。</w:t>
      </w:r>
      <w:hyperlink r:id="rId20">
        <w:r>
          <w:rPr>
            <w:color w:val="5C6670"/>
            <w:sz w:val="17"/>
          </w:rPr>
          <w:t>  原文</w:t>
        </w:r>
      </w:hyperlink>
    </w:p>
    <w:p>
      <w:pPr>
        <w:pStyle w:val="ExhibitTitle"/>
      </w:pPr>
      <w:r>
        <w:t>S07  香港统计处｜Hong Kong in Figures 2026</w:t>
      </w:r>
    </w:p>
    <w:p>
      <w:pPr>
        <w:pStyle w:val="SourceNote"/>
      </w:pPr>
      <w:r>
        <w:t>发布：未标具体日期；提取：2026-10-29。2025居民边境离境事件。</w:t>
      </w:r>
      <w:hyperlink r:id="rId21">
        <w:r>
          <w:rPr>
            <w:color w:val="5C6670"/>
            <w:sz w:val="17"/>
          </w:rPr>
          <w:t>  原文</w:t>
        </w:r>
      </w:hyperlink>
    </w:p>
    <w:p>
      <w:pPr>
        <w:pStyle w:val="ExhibitTitle"/>
      </w:pPr>
      <w:r>
        <w:t>S08  澳门旅游局／DSEC｜Global Indicators</w:t>
      </w:r>
    </w:p>
    <w:p>
      <w:pPr>
        <w:pStyle w:val="SourceNote"/>
      </w:pPr>
      <w:r>
        <w:t>发布：2026-03-27；提取：2026-10-29。2025居民离境；不等于休闲旅次。</w:t>
      </w:r>
      <w:hyperlink r:id="rId22">
        <w:r>
          <w:rPr>
            <w:color w:val="5C6670"/>
            <w:sz w:val="17"/>
          </w:rPr>
          <w:t>  原文</w:t>
        </w:r>
      </w:hyperlink>
    </w:p>
    <w:p>
      <w:pPr>
        <w:pStyle w:val="ExhibitTitle"/>
      </w:pPr>
      <w:r>
        <w:t>S09  VisitBritain｜Hong Kong SAR market insights</w:t>
      </w:r>
    </w:p>
    <w:p>
      <w:pPr>
        <w:pStyle w:val="SourceNote"/>
      </w:pPr>
      <w:r>
        <w:t>发布：未标具体日期；提取：2026-10-30。2025境外访问；混合来源估计。</w:t>
      </w:r>
      <w:hyperlink r:id="rId23">
        <w:r>
          <w:rPr>
            <w:color w:val="5C6670"/>
            <w:sz w:val="17"/>
          </w:rPr>
          <w:t>  原文</w:t>
        </w:r>
      </w:hyperlink>
    </w:p>
    <w:p>
      <w:pPr>
        <w:pStyle w:val="ExhibitTitle"/>
      </w:pPr>
      <w:r>
        <w:t>S10  UN Tourism｜Domestic trips原始工作簿</w:t>
      </w:r>
    </w:p>
    <w:p>
      <w:pPr>
        <w:pStyle w:val="SourceNote"/>
      </w:pPr>
      <w:r>
        <w:t>发布：2025-12-23；提取：2026-10-30。1995–2024；无2025全球总量。</w:t>
      </w:r>
      <w:hyperlink r:id="rId24">
        <w:r>
          <w:rPr>
            <w:color w:val="5C6670"/>
            <w:sz w:val="17"/>
          </w:rPr>
          <w:t>  原文</w:t>
        </w:r>
      </w:hyperlink>
    </w:p>
    <w:p>
      <w:pPr>
        <w:pStyle w:val="ExhibitTitle"/>
      </w:pPr>
      <w:r>
        <w:t>S11  Booking Holdings｜FY2025 results</w:t>
      </w:r>
    </w:p>
    <w:p>
      <w:pPr>
        <w:pStyle w:val="SourceNote"/>
      </w:pPr>
      <w:r>
        <w:t>发布：2026-02-18；提取：2026-10-29。集团收入与gross bookings。</w:t>
      </w:r>
      <w:hyperlink r:id="rId25">
        <w:r>
          <w:rPr>
            <w:color w:val="5C6670"/>
            <w:sz w:val="17"/>
          </w:rPr>
          <w:t>  原文</w:t>
        </w:r>
      </w:hyperlink>
    </w:p>
    <w:p>
      <w:pPr>
        <w:pStyle w:val="SmallText"/>
      </w:pPr>
      <w:r>
        <w:t>来源的完整限定、原始值、提取位置、档案路径与SHA记录随支持证据保存。来源网页可能更新；结论以所列观察期与留存摘录为准。模型假设没有第三方数据标签，详见附录A及支持假设表。</w:t>
      </w:r>
    </w:p>
    <w:p>
      <w:pPr>
        <w:pStyle w:val="Heading1"/>
        <w:pageBreakBefore/>
      </w:pPr>
      <w:r>
        <w:t>附录C｜来源索引（12–22）</w:t>
      </w:r>
    </w:p>
    <w:p>
      <w:pPr>
        <w:pStyle w:val="ExhibitTitle"/>
      </w:pPr>
      <w:r>
        <w:t>S12  Expedia Group｜FY2025 results</w:t>
      </w:r>
    </w:p>
    <w:p>
      <w:pPr>
        <w:pStyle w:val="SourceNote"/>
      </w:pPr>
      <w:r>
        <w:t>发布：2026-02-12；提取：2026-10-29。集团收入与gross bookings。</w:t>
      </w:r>
      <w:hyperlink r:id="rId26">
        <w:r>
          <w:rPr>
            <w:color w:val="5C6670"/>
            <w:sz w:val="17"/>
          </w:rPr>
          <w:t>  原文</w:t>
        </w:r>
      </w:hyperlink>
    </w:p>
    <w:p>
      <w:pPr>
        <w:pStyle w:val="ExhibitTitle"/>
      </w:pPr>
      <w:r>
        <w:t>S13  Airbnb｜Q4/FY2025 shareholder letter</w:t>
      </w:r>
    </w:p>
    <w:p>
      <w:pPr>
        <w:pStyle w:val="SourceNote"/>
      </w:pPr>
      <w:r>
        <w:t>发布：2026-02-12；提取：2026-10-29。集团收入与GBV。</w:t>
      </w:r>
      <w:hyperlink r:id="rId27">
        <w:r>
          <w:rPr>
            <w:color w:val="5C6670"/>
            <w:sz w:val="17"/>
          </w:rPr>
          <w:t>  原文</w:t>
        </w:r>
      </w:hyperlink>
    </w:p>
    <w:p>
      <w:pPr>
        <w:pStyle w:val="ExhibitTitle"/>
      </w:pPr>
      <w:r>
        <w:t>S14  Trip.com Group｜FY2025 results</w:t>
      </w:r>
    </w:p>
    <w:p>
      <w:pPr>
        <w:pStyle w:val="SourceNote"/>
      </w:pPr>
      <w:r>
        <w:t>发布：2026-02-25；提取：2026-10-29。集团未经审计年度业绩。</w:t>
      </w:r>
      <w:hyperlink r:id="rId28">
        <w:r>
          <w:rPr>
            <w:color w:val="5C6670"/>
            <w:sz w:val="17"/>
          </w:rPr>
          <w:t>  原文</w:t>
        </w:r>
      </w:hyperlink>
    </w:p>
    <w:p>
      <w:pPr>
        <w:pStyle w:val="ExhibitTitle"/>
      </w:pPr>
      <w:r>
        <w:t>S15  同程旅行｜2025年度公司新闻稿</w:t>
      </w:r>
    </w:p>
    <w:p>
      <w:pPr>
        <w:pStyle w:val="SourceNote"/>
      </w:pPr>
      <w:r>
        <w:t>发布：2026-03-24；提取：2026-10-29。公司发布数据；人民币。</w:t>
      </w:r>
      <w:hyperlink r:id="rId29">
        <w:r>
          <w:rPr>
            <w:color w:val="5C6670"/>
            <w:sz w:val="17"/>
          </w:rPr>
          <w:t>  原文</w:t>
        </w:r>
      </w:hyperlink>
    </w:p>
    <w:p>
      <w:pPr>
        <w:pStyle w:val="ExhibitTitle"/>
      </w:pPr>
      <w:r>
        <w:t>S16  Trip.com｜TripGenie产品页</w:t>
      </w:r>
    </w:p>
    <w:p>
      <w:pPr>
        <w:pStyle w:val="SourceNote"/>
      </w:pPr>
      <w:r>
        <w:t>发布：未标具体日期；提取：2026-10-29。免费旅行问答；功能与交易分开。</w:t>
      </w:r>
      <w:hyperlink r:id="rId30">
        <w:r>
          <w:rPr>
            <w:color w:val="5C6670"/>
            <w:sz w:val="17"/>
          </w:rPr>
          <w:t>  原文</w:t>
        </w:r>
      </w:hyperlink>
    </w:p>
    <w:p>
      <w:pPr>
        <w:pStyle w:val="ExhibitTitle"/>
      </w:pPr>
      <w:r>
        <w:t>S17  Alibaba｜Qwen agentic ecosystem public test</w:t>
      </w:r>
    </w:p>
    <w:p>
      <w:pPr>
        <w:pStyle w:val="SourceNote"/>
      </w:pPr>
      <w:r>
        <w:t>发布：2026-01-15；提取：2026-10-29。2026-01-15；中国公开测试。</w:t>
      </w:r>
      <w:hyperlink r:id="rId31">
        <w:r>
          <w:rPr>
            <w:color w:val="5C6670"/>
            <w:sz w:val="17"/>
          </w:rPr>
          <w:t>  原文</w:t>
        </w:r>
      </w:hyperlink>
    </w:p>
    <w:p>
      <w:pPr>
        <w:pStyle w:val="ExhibitTitle"/>
      </w:pPr>
      <w:r>
        <w:t>S18  Google｜Ask Maps and Immersive Navigation</w:t>
      </w:r>
    </w:p>
    <w:p>
      <w:pPr>
        <w:pStyle w:val="SourceNote"/>
      </w:pPr>
      <w:r>
        <w:t>发布：2026-03-12；提取：2026-10-29。2026-03-12；初期美国／印度。</w:t>
      </w:r>
      <w:hyperlink r:id="rId32">
        <w:r>
          <w:rPr>
            <w:color w:val="5C6670"/>
            <w:sz w:val="17"/>
          </w:rPr>
          <w:t>  原文</w:t>
        </w:r>
      </w:hyperlink>
    </w:p>
    <w:p>
      <w:pPr>
        <w:pStyle w:val="ExhibitTitle"/>
      </w:pPr>
      <w:r>
        <w:t>S19  Google｜Pixel Camera Coach</w:t>
      </w:r>
    </w:p>
    <w:p>
      <w:pPr>
        <w:pStyle w:val="SourceNote"/>
      </w:pPr>
      <w:r>
        <w:t>发布：2025-09-03；提取：2026-10-29。Pixel 10 Pro；拍前指导。</w:t>
      </w:r>
      <w:hyperlink r:id="rId33">
        <w:r>
          <w:rPr>
            <w:color w:val="5C6670"/>
            <w:sz w:val="17"/>
          </w:rPr>
          <w:t>  原文</w:t>
        </w:r>
      </w:hyperlink>
    </w:p>
    <w:p>
      <w:pPr>
        <w:pStyle w:val="ExhibitTitle"/>
      </w:pPr>
      <w:r>
        <w:t>S20  Mindtrip｜当前产品首页</w:t>
      </w:r>
    </w:p>
    <w:p>
      <w:pPr>
        <w:pStyle w:val="SourceNote"/>
      </w:pPr>
      <w:r>
        <w:t>发布：未标具体日期；提取：2026-10-29。产品声明；明确独立价未恢复。</w:t>
      </w:r>
      <w:hyperlink r:id="rId34">
        <w:r>
          <w:rPr>
            <w:color w:val="5C6670"/>
            <w:sz w:val="17"/>
          </w:rPr>
          <w:t>  原文</w:t>
        </w:r>
      </w:hyperlink>
    </w:p>
    <w:p>
      <w:pPr>
        <w:pStyle w:val="ExhibitTitle"/>
      </w:pPr>
      <w:r>
        <w:t>S21  Layla｜Chatbot terms</w:t>
      </w:r>
    </w:p>
    <w:p>
      <w:pPr>
        <w:pStyle w:val="SourceNote"/>
      </w:pPr>
      <w:r>
        <w:t>发布：未标具体日期；提取：2026-10-29。2026年8月条款；新Premium停止声明。</w:t>
      </w:r>
      <w:hyperlink r:id="rId35">
        <w:r>
          <w:rPr>
            <w:color w:val="5C6670"/>
            <w:sz w:val="17"/>
          </w:rPr>
          <w:t>  原文</w:t>
        </w:r>
      </w:hyperlink>
    </w:p>
    <w:p>
      <w:pPr>
        <w:pStyle w:val="ExhibitTitle"/>
      </w:pPr>
      <w:r>
        <w:t>S22  VoiceMap｜Your tour price</w:t>
      </w:r>
    </w:p>
    <w:p>
      <w:pPr>
        <w:pStyle w:val="SourceNote"/>
      </w:pPr>
      <w:r>
        <w:t>发布：未标具体日期；提取：2026-10-29。USD5.99–29.99／音频游览许可。</w:t>
      </w:r>
      <w:hyperlink r:id="rId36">
        <w:r>
          <w:rPr>
            <w:color w:val="5C6670"/>
            <w:sz w:val="17"/>
          </w:rPr>
          <w:t>  原文</w:t>
        </w:r>
      </w:hyperlink>
    </w:p>
    <w:p>
      <w:pPr>
        <w:pStyle w:val="SmallText"/>
      </w:pPr>
      <w:r>
        <w:t>来源的完整限定、原始值、提取位置、档案路径与SHA记录随支持证据保存。来源网页可能更新；结论以所列观察期与留存摘录为准。模型假设没有第三方数据标签，详见附录A及支持假设表。</w:t>
      </w:r>
    </w:p>
    <w:p>
      <w:pPr>
        <w:pStyle w:val="Heading1"/>
        <w:pageBreakBefore/>
      </w:pPr>
      <w:r>
        <w:t>附录C｜来源索引（23–33）</w:t>
      </w:r>
    </w:p>
    <w:p>
      <w:pPr>
        <w:pStyle w:val="ExhibitTitle"/>
      </w:pPr>
      <w:r>
        <w:t>S23  Apple HK／TripIt｜TripIt Pro</w:t>
      </w:r>
    </w:p>
    <w:p>
      <w:pPr>
        <w:pStyle w:val="SourceNote"/>
      </w:pPr>
      <w:r>
        <w:t>发布：未标具体日期；提取：2026-10-29。所列SKU HKD388／年。</w:t>
      </w:r>
      <w:hyperlink r:id="rId37">
        <w:r>
          <w:rPr>
            <w:color w:val="5C6670"/>
            <w:sz w:val="17"/>
          </w:rPr>
          <w:t>  原文</w:t>
        </w:r>
      </w:hyperlink>
    </w:p>
    <w:p>
      <w:pPr>
        <w:pStyle w:val="ExhibitTitle"/>
      </w:pPr>
      <w:r>
        <w:t>S24  Apple CN／美图秀秀｜VIP价格</w:t>
      </w:r>
    </w:p>
    <w:p>
      <w:pPr>
        <w:pStyle w:val="SourceNote"/>
      </w:pPr>
      <w:r>
        <w:t>发布：未标具体日期；提取：2026-10-29。所列SKU CNY15／月、128／年。</w:t>
      </w:r>
      <w:hyperlink r:id="rId38">
        <w:r>
          <w:rPr>
            <w:color w:val="5C6670"/>
            <w:sz w:val="17"/>
          </w:rPr>
          <w:t>  原文</w:t>
        </w:r>
      </w:hyperlink>
    </w:p>
    <w:p>
      <w:pPr>
        <w:pStyle w:val="ExhibitTitle"/>
      </w:pPr>
      <w:r>
        <w:t>S25  Viator｜Travel Affiliate Program</w:t>
      </w:r>
    </w:p>
    <w:p>
      <w:pPr>
        <w:pStyle w:val="SourceNote"/>
      </w:pPr>
      <w:r>
        <w:t>发布：未标具体日期；提取：2026-10-29。公开8%；非Luya合同。</w:t>
      </w:r>
      <w:hyperlink r:id="rId39">
        <w:r>
          <w:rPr>
            <w:color w:val="5C6670"/>
            <w:sz w:val="17"/>
          </w:rPr>
          <w:t>  原文</w:t>
        </w:r>
      </w:hyperlink>
    </w:p>
    <w:p>
      <w:pPr>
        <w:pStyle w:val="ExhibitTitle"/>
      </w:pPr>
      <w:r>
        <w:t>S26  GetYourGuide｜Creator affiliate program</w:t>
      </w:r>
    </w:p>
    <w:p>
      <w:pPr>
        <w:pStyle w:val="SourceNote"/>
      </w:pPr>
      <w:r>
        <w:t>发布：2025-06-05；提取：2026-10-29。公开up to8%；非保底。</w:t>
      </w:r>
      <w:hyperlink r:id="rId40">
        <w:r>
          <w:rPr>
            <w:color w:val="5C6670"/>
            <w:sz w:val="17"/>
          </w:rPr>
          <w:t>  原文</w:t>
        </w:r>
      </w:hyperlink>
    </w:p>
    <w:p>
      <w:pPr>
        <w:pStyle w:val="ExhibitTitle"/>
      </w:pPr>
      <w:r>
        <w:t>S27  Google｜Gemini Developer API pricing</w:t>
      </w:r>
    </w:p>
    <w:p>
      <w:pPr>
        <w:pStyle w:val="SourceNote"/>
      </w:pPr>
      <w:r>
        <w:t>发布：2026-10-28；提取：2026-10-29。冻结提取日价目；按模型／模式。</w:t>
      </w:r>
      <w:hyperlink r:id="rId41">
        <w:r>
          <w:rPr>
            <w:color w:val="5C6670"/>
            <w:sz w:val="17"/>
          </w:rPr>
          <w:t>  原文</w:t>
        </w:r>
      </w:hyperlink>
    </w:p>
    <w:p>
      <w:pPr>
        <w:pStyle w:val="ExhibitTitle"/>
      </w:pPr>
      <w:r>
        <w:t>S28  阿里云｜qwen-plus模型信息</w:t>
      </w:r>
    </w:p>
    <w:p>
      <w:pPr>
        <w:pStyle w:val="SourceNote"/>
      </w:pPr>
      <w:r>
        <w:t>发布：未标具体日期；提取：2026-10-29。北京中国站；非思考／长度档。</w:t>
      </w:r>
      <w:hyperlink r:id="rId42">
        <w:r>
          <w:rPr>
            <w:color w:val="5C6670"/>
            <w:sz w:val="17"/>
          </w:rPr>
          <w:t>  原文</w:t>
        </w:r>
      </w:hyperlink>
    </w:p>
    <w:p>
      <w:pPr>
        <w:pStyle w:val="ExhibitTitle"/>
      </w:pPr>
      <w:r>
        <w:t>S29  Google Maps｜Core services pricing</w:t>
      </w:r>
    </w:p>
    <w:p>
      <w:pPr>
        <w:pStyle w:val="SourceNote"/>
      </w:pPr>
      <w:r>
        <w:t>发布：2026-10-28；提取：2026-10-29。各SKU收费事件／月度阶梯。</w:t>
      </w:r>
      <w:hyperlink r:id="rId43">
        <w:r>
          <w:rPr>
            <w:color w:val="5C6670"/>
            <w:sz w:val="17"/>
          </w:rPr>
          <w:t>  原文</w:t>
        </w:r>
      </w:hyperlink>
    </w:p>
    <w:p>
      <w:pPr>
        <w:pStyle w:val="ExhibitTitle"/>
      </w:pPr>
      <w:r>
        <w:t>S30  Stripe HK｜标准收费</w:t>
      </w:r>
    </w:p>
    <w:p>
      <w:pPr>
        <w:pStyle w:val="SourceNote"/>
      </w:pPr>
      <w:r>
        <w:t>发布：未标具体日期；提取：2026-10-29。本地卡3.4%+HKD2.35；附加另计。</w:t>
      </w:r>
      <w:hyperlink r:id="rId44">
        <w:r>
          <w:rPr>
            <w:color w:val="5C6670"/>
            <w:sz w:val="17"/>
          </w:rPr>
          <w:t>  原文</w:t>
        </w:r>
      </w:hyperlink>
    </w:p>
    <w:p>
      <w:pPr>
        <w:pStyle w:val="ExhibitTitle"/>
      </w:pPr>
      <w:r>
        <w:t>S31  欧盟委员会｜2025申根签证统计</w:t>
      </w:r>
    </w:p>
    <w:p>
      <w:pPr>
        <w:pStyle w:val="SourceNote"/>
      </w:pPr>
      <w:r>
        <w:t>发布：2026-05-28；提取：2026-10-29。领馆uniform申请；非旅游专属。</w:t>
      </w:r>
      <w:hyperlink r:id="rId45">
        <w:r>
          <w:rPr>
            <w:color w:val="5C6670"/>
            <w:sz w:val="17"/>
          </w:rPr>
          <w:t>  原文</w:t>
        </w:r>
      </w:hyperlink>
    </w:p>
    <w:p>
      <w:pPr>
        <w:pStyle w:val="ExhibitTitle"/>
      </w:pPr>
      <w:r>
        <w:t>S32  日本外务省｜2025签证签发总量</w:t>
      </w:r>
    </w:p>
    <w:p>
      <w:pPr>
        <w:pStyle w:val="SourceNote"/>
      </w:pPr>
      <w:r>
        <w:t>发布：2026-06-23；提取：2026-10-29。总签发；非独立旅游申请人。</w:t>
      </w:r>
      <w:hyperlink r:id="rId46">
        <w:r>
          <w:rPr>
            <w:color w:val="5C6670"/>
            <w:sz w:val="17"/>
          </w:rPr>
          <w:t>  原文</w:t>
        </w:r>
      </w:hyperlink>
    </w:p>
    <w:p>
      <w:pPr>
        <w:pStyle w:val="ExhibitTitle"/>
      </w:pPr>
      <w:r>
        <w:t>S33  UK Home Office｜2025 immigration statistics</w:t>
      </w:r>
    </w:p>
    <w:p>
      <w:pPr>
        <w:pStyle w:val="SourceNote"/>
      </w:pPr>
      <w:r>
        <w:t>发布：2026-02-26；提取：2026-10-29。Visitor签发；含非休闲目的。</w:t>
      </w:r>
      <w:hyperlink r:id="rId47">
        <w:r>
          <w:rPr>
            <w:color w:val="5C6670"/>
            <w:sz w:val="17"/>
          </w:rPr>
          <w:t>  原文</w:t>
        </w:r>
      </w:hyperlink>
    </w:p>
    <w:p>
      <w:pPr>
        <w:pStyle w:val="SmallText"/>
      </w:pPr>
      <w:r>
        <w:t>来源的完整限定、原始值、提取位置、档案路径与SHA记录随支持证据保存。来源网页可能更新；结论以所列观察期与留存摘录为准。模型假设没有第三方数据标签，详见附录A及支持假设表。</w:t>
      </w:r>
    </w:p>
    <w:p>
      <w:pPr>
        <w:pStyle w:val="Heading1"/>
        <w:pageBreakBefore/>
      </w:pPr>
      <w:r>
        <w:t>附录C｜来源索引（34–42）</w:t>
      </w:r>
    </w:p>
    <w:p>
      <w:pPr>
        <w:pStyle w:val="ExhibitTitle"/>
      </w:pPr>
      <w:r>
        <w:t>S34  美国国务院｜Visitor visa</w:t>
      </w:r>
    </w:p>
    <w:p>
      <w:pPr>
        <w:pStyle w:val="SourceNote"/>
      </w:pPr>
      <w:r>
        <w:t>发布：未标具体日期；提取：2026-10-29。USD185申请费组件；非全包。</w:t>
      </w:r>
      <w:hyperlink r:id="rId48">
        <w:r>
          <w:rPr>
            <w:color w:val="5C6670"/>
            <w:sz w:val="17"/>
          </w:rPr>
          <w:t>  原文</w:t>
        </w:r>
      </w:hyperlink>
    </w:p>
    <w:p>
      <w:pPr>
        <w:pStyle w:val="ExhibitTitle"/>
      </w:pPr>
      <w:r>
        <w:t>S35  GOV.UK｜Standard Visitor application</w:t>
      </w:r>
    </w:p>
    <w:p>
      <w:pPr>
        <w:pStyle w:val="SourceNote"/>
      </w:pPr>
      <w:r>
        <w:t>发布：未标具体日期；提取：2026-10-29。GBP135／6个月政府费。</w:t>
      </w:r>
      <w:hyperlink r:id="rId49">
        <w:r>
          <w:rPr>
            <w:color w:val="5C6670"/>
            <w:sz w:val="17"/>
          </w:rPr>
          <w:t>  原文</w:t>
        </w:r>
      </w:hyperlink>
    </w:p>
    <w:p>
      <w:pPr>
        <w:pStyle w:val="ExhibitTitle"/>
      </w:pPr>
      <w:r>
        <w:t>S36  欧盟委员会｜Applying for a Schengen visa</w:t>
      </w:r>
    </w:p>
    <w:p>
      <w:pPr>
        <w:pStyle w:val="SourceNote"/>
      </w:pPr>
      <w:r>
        <w:t>发布：2025-12-02；提取：2026-10-29。通常成人EUR90；豁免另核。</w:t>
      </w:r>
      <w:hyperlink r:id="rId50">
        <w:r>
          <w:rPr>
            <w:color w:val="5C6670"/>
            <w:sz w:val="17"/>
          </w:rPr>
          <w:t>  原文</w:t>
        </w:r>
      </w:hyperlink>
    </w:p>
    <w:p>
      <w:pPr>
        <w:pStyle w:val="ExhibitTitle"/>
      </w:pPr>
      <w:r>
        <w:t>S37  iVisa｜US visa/ESTA报价页</w:t>
      </w:r>
    </w:p>
    <w:p>
      <w:pPr>
        <w:pStyle w:val="SourceNote"/>
      </w:pPr>
      <w:r>
        <w:t>发布：未标具体日期；提取：2026-10-29。from总价；不可作净服务费。</w:t>
      </w:r>
      <w:hyperlink r:id="rId51">
        <w:r>
          <w:rPr>
            <w:color w:val="5C6670"/>
            <w:sz w:val="17"/>
          </w:rPr>
          <w:t>  原文</w:t>
        </w:r>
      </w:hyperlink>
    </w:p>
    <w:p>
      <w:pPr>
        <w:pStyle w:val="ExhibitTitle"/>
      </w:pPr>
      <w:r>
        <w:t>S38  WTM／Tourism Economics｜Global Travel Report2025</w:t>
      </w:r>
    </w:p>
    <w:p>
      <w:pPr>
        <w:pStyle w:val="SourceNote"/>
      </w:pPr>
      <w:r>
        <w:t>发布：未标具体日期；提取：2026-10-29。2030预测；非AI付费市场。</w:t>
      </w:r>
      <w:hyperlink r:id="rId52">
        <w:r>
          <w:rPr>
            <w:color w:val="5C6670"/>
            <w:sz w:val="17"/>
          </w:rPr>
          <w:t>  原文</w:t>
        </w:r>
      </w:hyperlink>
    </w:p>
    <w:p>
      <w:pPr>
        <w:pStyle w:val="ExhibitTitle"/>
      </w:pPr>
      <w:r>
        <w:t>S39  UNWTO｜Tourism Towards2030</w:t>
      </w:r>
    </w:p>
    <w:p>
      <w:pPr>
        <w:pStyle w:val="SourceNote"/>
      </w:pPr>
      <w:r>
        <w:t>发布：2011-10-11；提取：2026-10-29。2011发布的长期预测。</w:t>
      </w:r>
      <w:hyperlink r:id="rId53">
        <w:r>
          <w:rPr>
            <w:color w:val="5C6670"/>
            <w:sz w:val="17"/>
          </w:rPr>
          <w:t>  原文</w:t>
        </w:r>
      </w:hyperlink>
    </w:p>
    <w:p>
      <w:pPr>
        <w:pStyle w:val="ExhibitTitle"/>
      </w:pPr>
      <w:r>
        <w:t>S40  台湾观光署｜历年出国目的地人数CSV</w:t>
      </w:r>
    </w:p>
    <w:p>
      <w:pPr>
        <w:pStyle w:val="SourceNote"/>
      </w:pPr>
      <w:r>
        <w:t>发布：2026-09-15；提取：2026-10-29。2025全龄出国；与国内年龄不同。</w:t>
      </w:r>
      <w:hyperlink r:id="rId54">
        <w:r>
          <w:rPr>
            <w:color w:val="5C6670"/>
            <w:sz w:val="17"/>
          </w:rPr>
          <w:t>  原文</w:t>
        </w:r>
      </w:hyperlink>
    </w:p>
    <w:p>
      <w:pPr>
        <w:pStyle w:val="ExhibitTitle"/>
      </w:pPr>
      <w:r>
        <w:t>S41  CNNIC｜第57次互联网统计报告发布摘要</w:t>
      </w:r>
    </w:p>
    <w:p>
      <w:pPr>
        <w:pStyle w:val="SourceNote"/>
      </w:pPr>
      <w:r>
        <w:t>发布：2026-02-05；提取：2026-10-29。截至2025年底；非旅行付费用户。</w:t>
      </w:r>
      <w:hyperlink r:id="rId55">
        <w:r>
          <w:rPr>
            <w:color w:val="5C6670"/>
            <w:sz w:val="17"/>
          </w:rPr>
          <w:t>  原文</w:t>
        </w:r>
      </w:hyperlink>
    </w:p>
    <w:p>
      <w:pPr>
        <w:pStyle w:val="ExhibitTitle"/>
      </w:pPr>
      <w:r>
        <w:t>S42  CNNIC｜生成式AI应用发展报告2026发布摘要</w:t>
      </w:r>
    </w:p>
    <w:p>
      <w:pPr>
        <w:pStyle w:val="SourceNote"/>
      </w:pPr>
      <w:r>
        <w:t>发布：2026-10-08；提取：2026-10-29。截至2026上半年；超过7亿为下界。</w:t>
      </w:r>
      <w:hyperlink r:id="rId56">
        <w:r>
          <w:rPr>
            <w:color w:val="5C6670"/>
            <w:sz w:val="17"/>
          </w:rPr>
          <w:t>  原文</w:t>
        </w:r>
      </w:hyperlink>
    </w:p>
    <w:p>
      <w:pPr>
        <w:pStyle w:val="SmallText"/>
      </w:pPr>
      <w:r>
        <w:t>来源的完整限定、原始值、提取位置、档案路径与SHA记录随支持证据保存。来源网页可能更新；结论以所列观察期与留存摘录为准。模型假设没有第三方数据标签，详见附录A及支持假设表。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ourceNote"/>
      <w:jc w:val="right"/>
    </w:pPr>
    <w:r>
      <w:t xml:space="preserve">2026年10月30日     |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ourceNote"/>
    </w:pPr>
    <w:r>
      <w:t>LUYA   旅行科技与投资研究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0" w:lineRule="auto" w:after="120"/>
    </w:pPr>
    <w:rPr>
      <w:rFonts w:ascii="Arial" w:hAnsi="Arial" w:eastAsia="Songti SC"/>
      <w:b w:val="0"/>
      <w:color w:val="20262C"/>
      <w:sz w:val="21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60"/>
      <w:outlineLvl w:val="0"/>
    </w:pPr>
    <w:rPr>
      <w:rFonts w:ascii="Arial" w:hAnsi="Arial" w:eastAsia="Hiragino Sans GB"/>
      <w:b/>
      <w:bCs/>
      <w:color w:val="000000"/>
      <w:sz w:val="32"/>
      <w:szCs w:val="28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60"/>
      <w:outlineLvl w:val="1"/>
    </w:pPr>
    <w:rPr>
      <w:rFonts w:ascii="Arial" w:hAnsi="Arial" w:eastAsia="Hiragino Sans GB"/>
      <w:b/>
      <w:bCs/>
      <w:color w:val="000000"/>
      <w:sz w:val="23"/>
      <w:szCs w:val="26"/>
      <w:lang w:val="en-US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outlineLvl w:val="2"/>
    </w:pPr>
    <w:rPr>
      <w:rFonts w:ascii="Arial" w:hAnsi="Arial" w:eastAsia="Hiragino Sans GB"/>
      <w:b/>
      <w:bCs/>
      <w:color w:val="000000"/>
      <w:sz w:val="21"/>
      <w:lang w:val="en-US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160"/>
      <w:contextualSpacing/>
    </w:pPr>
    <w:rPr>
      <w:rFonts w:ascii="Arial" w:hAnsi="Arial" w:eastAsia="Hiragino Sans GB"/>
      <w:b/>
      <w:color w:val="000000"/>
      <w:spacing w:val="5"/>
      <w:kern w:val="28"/>
      <w:sz w:val="48"/>
      <w:szCs w:val="52"/>
      <w:lang w:val="en-US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widowControl/>
      <w:spacing w:line="271" w:lineRule="auto" w:after="80"/>
    </w:pPr>
    <w:rPr>
      <w:rFonts w:ascii="Arial" w:hAnsi="Arial" w:eastAsia="Songti SC"/>
      <w:b w:val="0"/>
      <w:color w:val="5C6670"/>
      <w:sz w:val="17"/>
      <w:lang w:val="en-US" w:eastAsia="zh-CN"/>
    </w:rPr>
  </w:style>
  <w:style w:type="paragraph" w:customStyle="1" w:styleId="ExhibitTitle">
    <w:name w:val="Exhibit Title"/>
    <w:pPr>
      <w:keepNext/>
      <w:spacing w:line="271" w:lineRule="auto" w:after="80"/>
    </w:pPr>
    <w:rPr>
      <w:rFonts w:ascii="Arial" w:hAnsi="Arial" w:eastAsia="Hiragino Sans GB"/>
      <w:b/>
      <w:color w:val="20262C"/>
      <w:sz w:val="20"/>
      <w:lang w:val="en-US" w:eastAsia="zh-CN"/>
    </w:rPr>
  </w:style>
  <w:style w:type="paragraph" w:customStyle="1" w:styleId="SmallText">
    <w:name w:val="Small Text"/>
    <w:pPr>
      <w:widowControl/>
      <w:spacing w:line="271" w:lineRule="auto" w:after="80"/>
    </w:pPr>
    <w:rPr>
      <w:rFonts w:ascii="Arial" w:hAnsi="Arial" w:eastAsia="Songti SC"/>
      <w:b w:val="0"/>
      <w:color w:val="20262C"/>
      <w:sz w:val="18"/>
      <w:lang w:val="en-US" w:eastAsia="zh-CN"/>
    </w:rPr>
  </w:style>
  <w:style w:type="paragraph" w:customStyle="1" w:styleId="TableText">
    <w:name w:val="Table Text"/>
    <w:pPr>
      <w:widowControl/>
      <w:spacing w:line="271" w:lineRule="auto" w:after="80"/>
    </w:pPr>
    <w:rPr>
      <w:rFonts w:ascii="Arial" w:hAnsi="Arial" w:eastAsia="Songti SC"/>
      <w:b w:val="0"/>
      <w:color w:val="20262C"/>
      <w:sz w:val="18"/>
      <w:lang w:val="en-US" w:eastAsia="zh-CN"/>
    </w:rPr>
  </w:style>
  <w:style w:type="paragraph" w:customStyle="1" w:styleId="TableHead">
    <w:name w:val="Table Head"/>
    <w:pPr>
      <w:widowControl/>
      <w:spacing w:line="271" w:lineRule="auto" w:after="80"/>
    </w:pPr>
    <w:rPr>
      <w:rFonts w:ascii="Arial" w:hAnsi="Arial" w:eastAsia="Hiragino Sans GB"/>
      <w:b/>
      <w:color w:val="20262C"/>
      <w:sz w:val="18"/>
      <w:lang w:val="en-US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pre-webunwto.s3.eu-west-1.amazonaws.com/s3fs-public/2026-09/World_Tourism%20Barometer_Sep26_Excerpt.pdf?VersionId=DMPxbDVq0xveTGY3n7j1cgdL_UTn28Pk" TargetMode="External"/><Relationship Id="rId16" Type="http://schemas.openxmlformats.org/officeDocument/2006/relationships/hyperlink" Target="https://zwgk.mct.gov.cn/zfxxgkml/tjxx/202606/t20260602_966073.html" TargetMode="External"/><Relationship Id="rId17" Type="http://schemas.openxmlformats.org/officeDocument/2006/relationships/hyperlink" Target="https://wttc.org/Research/Economic-Impact" TargetMode="External"/><Relationship Id="rId18" Type="http://schemas.openxmlformats.org/officeDocument/2006/relationships/hyperlink" Target="https://www.ustravel.org/sites/default/files/2026-05/US_Travel-Forecast_Spring26.pdf" TargetMode="External"/><Relationship Id="rId19" Type="http://schemas.openxmlformats.org/officeDocument/2006/relationships/hyperlink" Target="https://ec.europa.eu/eurostat/web/products-eurostat-news/w/ddn-20261009-1" TargetMode="External"/><Relationship Id="rId20" Type="http://schemas.openxmlformats.org/officeDocument/2006/relationships/hyperlink" Target="https://www.taiwan.net.tw/dn.aspx?uid=30464" TargetMode="External"/><Relationship Id="rId21" Type="http://schemas.openxmlformats.org/officeDocument/2006/relationships/hyperlink" Target="https://www.censtatd.gov.hk/en/data/stat_report/product/B1010006/att/B10100062026AN26B0100.pdf" TargetMode="External"/><Relationship Id="rId22" Type="http://schemas.openxmlformats.org/officeDocument/2006/relationships/hyperlink" Target="https://dataplus.macaotourism.gov.mo/document/CHT/Report/GlobalIndicators/2026/Global%20Indicators%20%202026%20Feb.pdf" TargetMode="External"/><Relationship Id="rId23" Type="http://schemas.openxmlformats.org/officeDocument/2006/relationships/hyperlink" Target="https://www.visitbritain.org/research-insights/inbound-markets/hong-kong-sar" TargetMode="External"/><Relationship Id="rId24" Type="http://schemas.openxmlformats.org/officeDocument/2006/relationships/hyperlink" Target="https://pre-webunwto.s3.amazonaws.com/s3fs-public/2025-12/UN_Tourism_domestic_trips_12_2025.xlsx" TargetMode="External"/><Relationship Id="rId25" Type="http://schemas.openxmlformats.org/officeDocument/2006/relationships/hyperlink" Target="https://www.bookingholdings.com/wp-content/uploads/2026/02/Q4-25-BKNG-Earnings-Release.pdf" TargetMode="External"/><Relationship Id="rId26" Type="http://schemas.openxmlformats.org/officeDocument/2006/relationships/hyperlink" Target="https://ir.expediagroup.com/news-and-events/news/news-details/2026/Expedia-Group-Reports-Fourth-Quarter-and-Full-Year-2025-Results/default.aspx" TargetMode="External"/><Relationship Id="rId27" Type="http://schemas.openxmlformats.org/officeDocument/2006/relationships/hyperlink" Target="https://s26.q4cdn.com/656283129/files/doc_financials/2025/q4/Airbnb_Q4-2025-Shareholder-Letter-Final.pdf" TargetMode="External"/><Relationship Id="rId28" Type="http://schemas.openxmlformats.org/officeDocument/2006/relationships/hyperlink" Target="https://investors.trip.com/news-releases/news-release-details/tripcom-group-limited-reports-unaudited-fourth-quarter-and-5/" TargetMode="External"/><Relationship Id="rId29" Type="http://schemas.openxmlformats.org/officeDocument/2006/relationships/hyperlink" Target="https://www.prnewswire.com/apac/zh/news-releases/2025194-302723161.html" TargetMode="External"/><Relationship Id="rId30" Type="http://schemas.openxmlformats.org/officeDocument/2006/relationships/hyperlink" Target="https://www.trip.com/tripgenie/" TargetMode="External"/><Relationship Id="rId31" Type="http://schemas.openxmlformats.org/officeDocument/2006/relationships/hyperlink" Target="https://www.alibabagroup.com/en-US/document-1948497434959151104" TargetMode="External"/><Relationship Id="rId32" Type="http://schemas.openxmlformats.org/officeDocument/2006/relationships/hyperlink" Target="https://blog.google/products-and-platforms/products/maps/ask-maps-immersive-navigation/" TargetMode="External"/><Relationship Id="rId33" Type="http://schemas.openxmlformats.org/officeDocument/2006/relationships/hyperlink" Target="https://blog.google/products-and-platforms/devices/pixel/how-to-use-camera-coach/" TargetMode="External"/><Relationship Id="rId34" Type="http://schemas.openxmlformats.org/officeDocument/2006/relationships/hyperlink" Target="https://mindtrip.ai/" TargetMode="External"/><Relationship Id="rId35" Type="http://schemas.openxmlformats.org/officeDocument/2006/relationships/hyperlink" Target="https://layla.ai/terms" TargetMode="External"/><Relationship Id="rId36" Type="http://schemas.openxmlformats.org/officeDocument/2006/relationships/hyperlink" Target="https://docs.voicemap.me/tour-publishers/tour-price/" TargetMode="External"/><Relationship Id="rId37" Type="http://schemas.openxmlformats.org/officeDocument/2006/relationships/hyperlink" Target="https://apps.apple.com/hk/app/tripit-travel-planner/id311035142" TargetMode="External"/><Relationship Id="rId38" Type="http://schemas.openxmlformats.org/officeDocument/2006/relationships/hyperlink" Target="https://apps.apple.com/cn/app/id416048305" TargetMode="External"/><Relationship Id="rId39" Type="http://schemas.openxmlformats.org/officeDocument/2006/relationships/hyperlink" Target="https://partnerresources.viator.com/" TargetMode="External"/><Relationship Id="rId40" Type="http://schemas.openxmlformats.org/officeDocument/2006/relationships/hyperlink" Target="https://partner.getyourguide.support/hc/en-us/articles/23082933149981-How-to-get-started-with-the-Affiliate-Program-as-a-Creator" TargetMode="External"/><Relationship Id="rId41" Type="http://schemas.openxmlformats.org/officeDocument/2006/relationships/hyperlink" Target="https://ai.google.dev/gemini-api/docs/pricing" TargetMode="External"/><Relationship Id="rId42" Type="http://schemas.openxmlformats.org/officeDocument/2006/relationships/hyperlink" Target="https://help.aliyun.com/zh/model-studio/qwen-plus" TargetMode="External"/><Relationship Id="rId43" Type="http://schemas.openxmlformats.org/officeDocument/2006/relationships/hyperlink" Target="https://developers.google.com/maps/billing-and-pricing/pricing" TargetMode="External"/><Relationship Id="rId44" Type="http://schemas.openxmlformats.org/officeDocument/2006/relationships/hyperlink" Target="https://stripe.com/en-hk/pricing" TargetMode="External"/><Relationship Id="rId45" Type="http://schemas.openxmlformats.org/officeDocument/2006/relationships/hyperlink" Target="https://home-affairs.ec.europa.eu/document/download/56816949-e59f-442b-9091-5d03360bf860_en" TargetMode="External"/><Relationship Id="rId46" Type="http://schemas.openxmlformats.org/officeDocument/2006/relationships/hyperlink" Target="https://www.mofa.go.jp/press/release/pressite_000001_02448.html" TargetMode="External"/><Relationship Id="rId47" Type="http://schemas.openxmlformats.org/officeDocument/2006/relationships/hyperlink" Target="https://www.gov.uk/government/statistics/immigration-system-statistics-year-ending-december-2025/how-many-people-come-to-the-uk-each-year" TargetMode="External"/><Relationship Id="rId48" Type="http://schemas.openxmlformats.org/officeDocument/2006/relationships/hyperlink" Target="https://travel.state.gov/content/travel/en/us-visas/tourism-visit/visitor.html" TargetMode="External"/><Relationship Id="rId49" Type="http://schemas.openxmlformats.org/officeDocument/2006/relationships/hyperlink" Target="https://www.gov.uk/standard-visitor/apply-standard-visitor-visa" TargetMode="External"/><Relationship Id="rId50" Type="http://schemas.openxmlformats.org/officeDocument/2006/relationships/hyperlink" Target="https://home-affairs.ec.europa.eu/policies/schengen/visa-policy/applying-schengen-visa_en" TargetMode="External"/><Relationship Id="rId51" Type="http://schemas.openxmlformats.org/officeDocument/2006/relationships/hyperlink" Target="https://www.ivisa.com/visas/usa" TargetMode="External"/><Relationship Id="rId52" Type="http://schemas.openxmlformats.org/officeDocument/2006/relationships/hyperlink" Target="https://www.wtm.com/content/dam/sitebuilder/rxuk/wtmkt/documents/WTM%20Global%20Travel%20Report%202025.pdf" TargetMode="External"/><Relationship Id="rId53" Type="http://schemas.openxmlformats.org/officeDocument/2006/relationships/hyperlink" Target="https://www.untourism.int/archive/global/press-release/2011-10-11/international-tourists-hit-18-billion-2030" TargetMode="External"/><Relationship Id="rId54" Type="http://schemas.openxmlformats.org/officeDocument/2006/relationships/hyperlink" Target="https://stat.taiwan.net.tw/data/opendata/1" TargetMode="External"/><Relationship Id="rId55" Type="http://schemas.openxmlformats.org/officeDocument/2006/relationships/hyperlink" Target="https://www.cnnic.ac.cn/n4/2026/0304/c88-11549.html" TargetMode="External"/><Relationship Id="rId56" Type="http://schemas.openxmlformats.org/officeDocument/2006/relationships/hyperlink" Target="https://www.cnnic.cn/n4/2026/1008/c88-11704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Luya｜全球与大中华区市场研究</dc:title>
  <dc:subject>Source-backed conditional TAM SAM SOM and operating scenarios</dc:subject>
  <dc:creator>Luya Research</dc:creator>
  <cp:keywords>Luya,TAM,SAM,SOM,2026,conditional scenarios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