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52"/>
          <w:szCs w:val="52"/>
        </w:rPr>
        <w:t xml:space="preserve">EatWise Engine</w:t>
      </w:r>
    </w:p>
    <w:p>
      <w:pPr>
        <w:spacing w:after="80"/>
        <w:jc w:val="center"/>
      </w:pPr>
      <w:r>
        <w:rPr>
          <w:rFonts w:ascii="Arial" w:cs="Arial" w:eastAsia="Arial" w:hAnsi="Arial"/>
          <w:color w:val="2E5090"/>
          <w:sz w:val="36"/>
          <w:szCs w:val="36"/>
        </w:rPr>
        <w:t xml:space="preserve">Phase 1: Exploratory Data Analysis</w:t>
      </w:r>
    </w:p>
    <w:p>
      <w:pPr>
        <w:spacing w:after="80"/>
        <w:jc w:val="center"/>
      </w:pPr>
      <w:r>
        <w:rPr>
          <w:rFonts w:ascii="Arial" w:cs="Arial" w:eastAsia="Arial" w:hAnsi="Arial"/>
          <w:i/>
          <w:iCs/>
          <w:color w:val="666666"/>
          <w:sz w:val="24"/>
          <w:szCs w:val="24"/>
        </w:rPr>
        <w:t xml:space="preserve">Team briefing document — presentation preparation and Q&amp;A reference</w:t>
      </w:r>
    </w:p>
    <w:p>
      <w:pPr>
        <w:pBdr>
          <w:bottom w:val="single" w:color="2E5090" w:sz="6" w:space="4"/>
        </w:pBdr>
        <w:spacing w:after="400"/>
        <w:jc w:val="center"/>
      </w:pPr>
      <w:r>
        <w:rPr>
          <w:rFonts w:ascii="Arial" w:cs="Arial" w:eastAsia="Arial" w:hAnsi="Arial"/>
          <w:color w:val="666666"/>
          <w:sz w:val="22"/>
          <w:szCs w:val="22"/>
        </w:rPr>
        <w:t xml:space="preserve">BMET2925 | University of Sydney | May 2026</w:t>
      </w:r>
    </w:p>
    <w:p>
      <w:pPr>
        <w:pStyle w:val="Heading1"/>
      </w:pPr>
      <w:r>
        <w:t xml:space="preserve">1. Project Context</w:t>
      </w:r>
    </w:p>
    <w:p>
      <w:r>
        <w:rPr>
          <w:sz w:val="24"/>
          <w:szCs w:val="24"/>
        </w:rPr>
        <w:t xml:space="preserve">EatWise Engine is a personalised dietary recommendation pipeline for obese patients, built as the BMET2925 datathon project at the University of Sydney. The full pipeline has four phases:</w:t>
      </w:r>
    </w:p>
    <w:p>
      <w:r>
        <w:t xml:space="preserve"/>
      </w:r>
    </w:p>
    <w:p>
      <w:pPr>
        <w:pStyle w:val="ListParagraph"/>
        <w:numPr>
          <w:ilvl w:val="0"/>
          <w:numId w:val="2"/>
        </w:numPr>
      </w:pPr>
      <w:r>
        <w:rPr>
          <w:sz w:val="24"/>
          <w:szCs w:val="24"/>
        </w:rPr>
        <w:t xml:space="preserve">Phase 1 (this document): Exploratory Data Analysis</w:t>
      </w:r>
    </w:p>
    <w:p>
      <w:pPr>
        <w:pStyle w:val="ListParagraph"/>
        <w:numPr>
          <w:ilvl w:val="0"/>
          <w:numId w:val="2"/>
        </w:numPr>
      </w:pPr>
      <w:r>
        <w:rPr>
          <w:sz w:val="24"/>
          <w:szCs w:val="24"/>
        </w:rPr>
        <w:t xml:space="preserve">Phase 2: Random Forest classifier on D1 to predict a 7-class obesity target</w:t>
      </w:r>
    </w:p>
    <w:p>
      <w:pPr>
        <w:pStyle w:val="ListParagraph"/>
        <w:numPr>
          <w:ilvl w:val="0"/>
          <w:numId w:val="2"/>
        </w:numPr>
      </w:pPr>
      <w:r>
        <w:rPr>
          <w:sz w:val="24"/>
          <w:szCs w:val="24"/>
        </w:rPr>
        <w:t xml:space="preserve">Phase 3: Regression and classification models on D4 to predict nutrition targets and a meal plan</w:t>
      </w:r>
    </w:p>
    <w:p>
      <w:pPr>
        <w:pStyle w:val="ListParagraph"/>
        <w:numPr>
          <w:ilvl w:val="0"/>
          <w:numId w:val="2"/>
        </w:numPr>
      </w:pPr>
      <w:r>
        <w:rPr>
          <w:sz w:val="24"/>
          <w:szCs w:val="24"/>
        </w:rPr>
        <w:t xml:space="preserve">Phase 4: Streamlit prototype wiring all phases together</w:t>
      </w:r>
    </w:p>
    <w:p>
      <w:r>
        <w:t xml:space="preserve"/>
      </w:r>
    </w:p>
    <w:p>
      <w:r>
        <w:rPr>
          <w:sz w:val="24"/>
          <w:szCs w:val="24"/>
        </w:rPr>
        <w:t xml:space="preserve">The Week 13 demo audience is BMET2925 staff and peers. The presentation slot is 10 minutes.</w:t>
      </w:r>
    </w:p>
    <w:p>
      <w:r>
        <w:t xml:space="preserve"/>
      </w:r>
    </w:p>
    <w:p>
      <w:pPr>
        <w:pStyle w:val="Heading1"/>
      </w:pPr>
      <w:r>
        <w:t xml:space="preserve">2. Datasets Used in Phase 1</w:t>
      </w:r>
    </w:p>
    <w:p>
      <w:r>
        <w:rPr>
          <w:sz w:val="24"/>
          <w:szCs w:val="24"/>
        </w:rPr>
        <w:t xml:space="preserve">All cleaned CSVs are in the cleaned_data/ folder. Phase 1 used two datasets; D2 and D3 were out of scope.</w:t>
      </w:r>
    </w:p>
    <w:p>
      <w:r>
        <w:t xml:space="preserve"/>
      </w:r>
    </w:p>
    <w:p>
      <w:pPr>
        <w:pStyle w:val="Heading3"/>
      </w:pPr>
      <w:r>
        <w:t xml:space="preserve">D1 — d1_obesity_prediction_cleaned.csv</w:t>
      </w:r>
    </w:p>
    <w:p>
      <w:pPr>
        <w:pStyle w:val="ListParagraph"/>
        <w:numPr>
          <w:ilvl w:val="0"/>
          <w:numId w:val="2"/>
        </w:numPr>
      </w:pPr>
      <w:r>
        <w:rPr>
          <w:b/>
          <w:bCs/>
          <w:sz w:val="24"/>
          <w:szCs w:val="24"/>
        </w:rPr>
        <w:t xml:space="preserve">Shape: </w:t>
      </w:r>
      <w:r>
        <w:rPr>
          <w:sz w:val="24"/>
          <w:szCs w:val="24"/>
        </w:rPr>
        <w:t xml:space="preserve">2087 rows, 17 columns</w:t>
      </w:r>
    </w:p>
    <w:p>
      <w:pPr>
        <w:pStyle w:val="ListParagraph"/>
        <w:numPr>
          <w:ilvl w:val="0"/>
          <w:numId w:val="2"/>
        </w:numPr>
      </w:pPr>
      <w:r>
        <w:rPr>
          <w:b/>
          <w:bCs/>
          <w:sz w:val="24"/>
          <w:szCs w:val="24"/>
        </w:rPr>
        <w:t xml:space="preserve">Target: </w:t>
      </w:r>
      <w:r>
        <w:rPr>
          <w:sz w:val="24"/>
          <w:szCs w:val="24"/>
        </w:rPr>
        <w:t xml:space="preserve">Obesity (7 classes): Insufficient_Weight, Normal_Weight, Overweight_Level_I, Overweight_Level_II, Obesity_Type_I, Obesity_Type_II, Obesity_Type_III</w:t>
      </w:r>
    </w:p>
    <w:p>
      <w:pPr>
        <w:pStyle w:val="ListParagraph"/>
        <w:numPr>
          <w:ilvl w:val="0"/>
          <w:numId w:val="2"/>
        </w:numPr>
      </w:pPr>
      <w:r>
        <w:rPr>
          <w:b/>
          <w:bCs/>
          <w:sz w:val="24"/>
          <w:szCs w:val="24"/>
        </w:rPr>
        <w:t xml:space="preserve">Source: </w:t>
      </w:r>
      <w:r>
        <w:rPr>
          <w:sz w:val="24"/>
          <w:szCs w:val="24"/>
        </w:rPr>
        <w:t xml:space="preserve">Survey data on lifestyle and anthropometric features (Age, Height, Weight, eating habits, physical activity, transport mode, family history, etc.)</w:t>
      </w:r>
    </w:p>
    <w:p>
      <w:r>
        <w:t xml:space="preserve"/>
      </w:r>
    </w:p>
    <w:p>
      <w:pPr>
        <w:pStyle w:val="Heading3"/>
      </w:pPr>
      <w:r>
        <w:t xml:space="preserve">D4 — d4_personalised_medical_diet_cleaned.csv</w:t>
      </w:r>
    </w:p>
    <w:p>
      <w:pPr>
        <w:pStyle w:val="ListParagraph"/>
        <w:numPr>
          <w:ilvl w:val="0"/>
          <w:numId w:val="2"/>
        </w:numPr>
      </w:pPr>
      <w:r>
        <w:rPr>
          <w:b/>
          <w:bCs/>
          <w:sz w:val="24"/>
          <w:szCs w:val="24"/>
        </w:rPr>
        <w:t xml:space="preserve">Shape: </w:t>
      </w:r>
      <w:r>
        <w:rPr>
          <w:sz w:val="24"/>
          <w:szCs w:val="24"/>
        </w:rPr>
        <w:t xml:space="preserve">5000 rows, 30 columns</w:t>
      </w:r>
    </w:p>
    <w:p>
      <w:pPr>
        <w:pStyle w:val="ListParagraph"/>
        <w:numPr>
          <w:ilvl w:val="0"/>
          <w:numId w:val="2"/>
        </w:numPr>
      </w:pPr>
      <w:r>
        <w:rPr>
          <w:b/>
          <w:bCs/>
          <w:sz w:val="24"/>
          <w:szCs w:val="24"/>
        </w:rPr>
        <w:t xml:space="preserve">Target: </w:t>
      </w:r>
      <w:r>
        <w:rPr>
          <w:sz w:val="24"/>
          <w:szCs w:val="24"/>
        </w:rPr>
        <w:t xml:space="preserve">Recommended_Meal_Plan (4 classes) + 4 regression targets: Recommended_Calories, Recommended_Protein, Recommended_Carbs, Recommended_Fats</w:t>
      </w:r>
    </w:p>
    <w:p>
      <w:pPr>
        <w:pStyle w:val="ListParagraph"/>
        <w:numPr>
          <w:ilvl w:val="0"/>
          <w:numId w:val="2"/>
        </w:numPr>
      </w:pPr>
      <w:r>
        <w:rPr>
          <w:b/>
          <w:bCs/>
          <w:sz w:val="24"/>
          <w:szCs w:val="24"/>
        </w:rPr>
        <w:t xml:space="preserve">Source: </w:t>
      </w:r>
      <w:r>
        <w:rPr>
          <w:sz w:val="24"/>
          <w:szCs w:val="24"/>
        </w:rPr>
        <w:t xml:space="preserve">Clinical patient records with BMI, blood markers, dietary habits, and personalised nutrition recommendations</w:t>
      </w:r>
    </w:p>
    <w:p>
      <w:r>
        <w:t xml:space="preserve"/>
      </w:r>
    </w:p>
    <w:p>
      <w:pPr>
        <w:pStyle w:val="Heading1"/>
      </w:pPr>
      <w:r>
        <w:t xml:space="preserve">3. What Was Built</w:t>
      </w:r>
    </w:p>
    <w:p>
      <w:r>
        <w:rPr>
          <w:sz w:val="24"/>
          <w:szCs w:val="24"/>
        </w:rPr>
        <w:t xml:space="preserve">A single Jupyter notebook: eatwise_eda_v1.ipynb, course-anchored to Module 5 / Lecture 5.3. The notebook uses:</w:t>
      </w:r>
    </w:p>
    <w:p>
      <w:r>
        <w:t xml:space="preserve"/>
      </w:r>
    </w:p>
    <w:p>
      <w:pPr>
        <w:pStyle w:val="ListParagraph"/>
        <w:numPr>
          <w:ilvl w:val="0"/>
          <w:numId w:val="2"/>
        </w:numPr>
      </w:pPr>
      <w:r>
        <w:rPr>
          <w:sz w:val="24"/>
          <w:szCs w:val="24"/>
        </w:rPr>
        <w:t xml:space="preserve">Plotly Express for all analytical charts (univariate histograms with rug marks, scatter matrix, Pearson and Spearman heatmaps)</w:t>
      </w:r>
    </w:p>
    <w:p>
      <w:pPr>
        <w:pStyle w:val="ListParagraph"/>
        <w:numPr>
          <w:ilvl w:val="0"/>
          <w:numId w:val="2"/>
        </w:numPr>
      </w:pPr>
      <w:r>
        <w:rPr>
          <w:sz w:val="24"/>
          <w:szCs w:val="24"/>
        </w:rPr>
        <w:t xml:space="preserve">Matplotlib for the two class balance bar charts (specified in proposal Phase 1.2)</w:t>
      </w:r>
    </w:p>
    <w:p>
      <w:pPr>
        <w:pStyle w:val="ListParagraph"/>
        <w:numPr>
          <w:ilvl w:val="0"/>
          <w:numId w:val="2"/>
        </w:numPr>
      </w:pPr>
      <w:r>
        <w:rPr>
          <w:sz w:val="24"/>
          <w:szCs w:val="24"/>
        </w:rPr>
        <w:t xml:space="preserve">One-line markdown justification above every analysis cell (rubric reward for reasoning)</w:t>
      </w:r>
    </w:p>
    <w:p>
      <w:r>
        <w:t xml:space="preserve"/>
      </w:r>
    </w:p>
    <w:p>
      <w:r>
        <w:rPr>
          <w:sz w:val="24"/>
          <w:szCs w:val="24"/>
        </w:rPr>
        <w:t xml:space="preserve">The notebook covers seven sections: A (setup), B (univariate), C (class balance), D (imputation review), E (bivariate/multivariate), F (Phase 2 prep notes), G (headline summary).</w:t>
      </w:r>
    </w:p>
    <w:p>
      <w:r>
        <w:t xml:space="preserve"/>
      </w:r>
    </w:p>
    <w:p>
      <w:pPr>
        <w:pStyle w:val="Heading1"/>
      </w:pPr>
      <w:r>
        <w:t xml:space="preserve">4. Section-by-Section Findings</w:t>
      </w:r>
    </w:p>
    <w:p>
      <w:pPr>
        <w:pStyle w:val="Heading2"/>
      </w:pPr>
      <w:r>
        <w:t xml:space="preserve">Section A — Setup and Load</w:t>
      </w:r>
    </w:p>
    <w:p>
      <w:r>
        <w:rPr>
          <w:sz w:val="24"/>
          <w:szCs w:val="24"/>
        </w:rPr>
        <w:t xml:space="preserve">Loaded D1 and D4 from cleaned_data/ and asserted exact shapes: D1 (2087, 17) and D4 (5000, 30). Both assertions passed. Printed dtypes and head for both datasets.</w:t>
      </w:r>
    </w:p>
    <w:p>
      <w:r>
        <w:t xml:space="preserve"/>
      </w:r>
    </w:p>
    <w:p>
      <w:r>
        <w:rPr>
          <w:b/>
          <w:bCs/>
          <w:sz w:val="24"/>
          <w:szCs w:val="24"/>
        </w:rPr>
        <w:t xml:space="preserve">Key technical note: </w:t>
      </w:r>
      <w:r>
        <w:rPr>
          <w:sz w:val="24"/>
          <w:szCs w:val="24"/>
        </w:rPr>
        <w:t xml:space="preserve">D4 was loaded with keep_default_na=False, na_values=[""] to prevent pandas from coercing the string "None" (meaning no allergy / no chronic condition) into NaN. See Q&amp;A section for full explanation.</w:t>
      </w:r>
    </w:p>
    <w:p>
      <w:r>
        <w:t xml:space="preserve"/>
      </w:r>
    </w:p>
    <w:p>
      <w:pPr>
        <w:pStyle w:val="Heading2"/>
      </w:pPr>
      <w:r>
        <w:t xml:space="preserve">Section B — Univariate Distributions (Phase 1.1)</w:t>
      </w:r>
    </w:p>
    <w:p>
      <w:r>
        <w:rPr>
          <w:sz w:val="24"/>
          <w:szCs w:val="24"/>
        </w:rPr>
        <w:t xml:space="preserve">For each continuous feature: side-by-side histogram (with rug marks) and box plot.</w:t>
      </w:r>
    </w:p>
    <w:p>
      <w:r>
        <w:t xml:space="preserve"/>
      </w:r>
    </w:p>
    <w:p>
      <w:pPr>
        <w:pStyle w:val="Heading3"/>
      </w:pPr>
      <w:r>
        <w:t xml:space="preserve">D1 features plotted</w:t>
      </w:r>
    </w:p>
    <w:p>
      <w:r>
        <w:rPr>
          <w:sz w:val="24"/>
          <w:szCs w:val="24"/>
        </w:rPr>
        <w:t xml:space="preserve">Age, Height, Weight, FCVC, NCP, CH2O, FAF, TUE, and a derived BMI column (Weight / Height²). BMI was derived for EDA only and was not saved back to the CSV.</w:t>
      </w:r>
    </w:p>
    <w:p>
      <w:r>
        <w:t xml:space="preserve"/>
      </w:r>
    </w:p>
    <w:p>
      <w:pPr>
        <w:pStyle w:val="Heading3"/>
      </w:pPr>
      <w:r>
        <w:t xml:space="preserve">D1 skew findings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4060"/>
      </w:tblGrid>
      <w:tr>
        <w:tc>
          <w:tcPr>
            <w:tcW w:type="dxa" w:w="2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2"/>
                <w:szCs w:val="22"/>
              </w:rPr>
              <w:t xml:space="preserve">Feature</w:t>
            </w:r>
          </w:p>
        </w:tc>
        <w:tc>
          <w:tcPr>
            <w:tcW w:type="dxa" w:w="12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2"/>
                <w:szCs w:val="22"/>
              </w:rPr>
              <w:t xml:space="preserve">Skew</w:t>
            </w:r>
          </w:p>
        </w:tc>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2"/>
                <w:szCs w:val="22"/>
              </w:rPr>
              <w:t xml:space="preserve">Type</w:t>
            </w:r>
          </w:p>
        </w:tc>
        <w:tc>
          <w:tcPr>
            <w:tcW w:type="dxa" w:w="40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2"/>
                <w:szCs w:val="22"/>
              </w:rPr>
              <w:t xml:space="preserve">Phase 2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+1.514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Continuous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log1p for linear/SVM pipelines only. RF does not need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NCP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−1.138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Discrete ordinal (1–4)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Leave untransformed. Log not meaningful on ordinal range; log1p does not compress left skew.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+0.609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Discrete ordinal (0–2)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Leave untransformed. Same reasoning as NCP.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All others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|skew| ≤ 0.494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Various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 transformation required.</w:t>
            </w:r>
          </w:p>
        </w:tc>
      </w:tr>
    </w:tbl>
    <w:p>
      <w:r>
        <w:t xml:space="preserve"/>
      </w:r>
    </w:p>
    <w:p>
      <w:pPr>
        <w:pStyle w:val="Heading3"/>
      </w:pPr>
      <w:r>
        <w:t xml:space="preserve">D4 (light scope)</w:t>
      </w:r>
    </w:p>
    <w:p>
      <w:r>
        <w:rPr>
          <w:sz w:val="24"/>
          <w:szCs w:val="24"/>
        </w:rPr>
        <w:t xml:space="preserve">Histograms and box plots for 6 clinical input features (BMI, Age, Caloric_Intake, Cholesterol_Level, Blood_Pressure_Systolic, Blood_Sugar_Level) and the 4 regression targets.</w:t>
      </w:r>
    </w:p>
    <w:p>
      <w:r>
        <w:t xml:space="preserve"/>
      </w:r>
    </w:p>
    <w:p>
      <w:r>
        <w:rPr>
          <w:sz w:val="24"/>
          <w:szCs w:val="24"/>
        </w:rPr>
        <w:t xml:space="preserve">The four D4 regression targets all have |skew| &lt; 0.02: Recommended_Protein (−0.017), Recommended_Fats (−0.014), Recommended_Carbs (+0.013), Recommended_Calories (−0.001). The distributions are approximately symmetric across well-defined numeric ranges. No target transformation is required for Phase 3 regression.</w:t>
      </w:r>
    </w:p>
    <w:p>
      <w:r>
        <w:t xml:space="preserve"/>
      </w:r>
    </w:p>
    <w:p>
      <w:pPr>
        <w:pStyle w:val="Heading2"/>
      </w:pPr>
      <w:r>
        <w:t xml:space="preserve">Section C — Class Balance (Phase 1.2)</w:t>
      </w:r>
    </w:p>
    <w:p>
      <w:pPr>
        <w:pStyle w:val="Heading3"/>
      </w:pPr>
      <w:r>
        <w:t xml:space="preserve">D1 — Obesity (7 classes)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220"/>
      </w:tblGrid>
      <w:tr>
        <w:tc>
          <w:tcPr>
            <w:tcW w:type="dxa" w:w="31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2"/>
                <w:szCs w:val="22"/>
              </w:rPr>
              <w:t xml:space="preserve">Class</w:t>
            </w:r>
          </w:p>
        </w:tc>
        <w:tc>
          <w:tcPr>
            <w:tcW w:type="dxa" w:w="15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2"/>
                <w:szCs w:val="22"/>
              </w:rPr>
              <w:t xml:space="preserve">Count</w:t>
            </w:r>
          </w:p>
        </w:tc>
        <w:tc>
          <w:tcPr>
            <w:tcW w:type="dxa" w:w="15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2"/>
                <w:szCs w:val="22"/>
              </w:rPr>
              <w:t xml:space="preserve">%</w:t>
            </w:r>
          </w:p>
        </w:tc>
        <w:tc>
          <w:tcPr>
            <w:tcW w:type="dxa" w:w="32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2"/>
                <w:szCs w:val="22"/>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Obesity_Type_I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351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16.8%</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Largest class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Obesity_Type_III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15.5%</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Obesity_Type_II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297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14.2%</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Overweight_Level_II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290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13.9%</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Normal_Weight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282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13.5%</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Overweight_Level_I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276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13.2%</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Insufficient_Weight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267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12.8%</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Smallest class</w:t>
            </w:r>
          </w:p>
        </w:tc>
      </w:tr>
    </w:tbl>
    <w:p>
      <w:r>
        <w:t xml:space="preserve"/>
      </w:r>
    </w:p>
    <w:p>
      <w:r>
        <w:rPr>
          <w:b/>
          <w:bCs/>
          <w:sz w:val="24"/>
          <w:szCs w:val="24"/>
        </w:rPr>
        <w:t xml:space="preserve">Verdict: </w:t>
      </w:r>
      <w:r>
        <w:rPr>
          <w:sz w:val="24"/>
          <w:szCs w:val="24"/>
        </w:rPr>
        <w:t xml:space="preserve">Balanced — 4.0 pp spread. Class imbalance is not a concern for Phase 2 training.</w:t>
      </w:r>
    </w:p>
    <w:p>
      <w:r>
        <w:t xml:space="preserve"/>
      </w:r>
    </w:p>
    <w:p>
      <w:r>
        <w:rPr>
          <w:b/>
          <w:bCs/>
          <w:sz w:val="24"/>
          <w:szCs w:val="24"/>
        </w:rPr>
        <w:t xml:space="preserve">Note on class_weight='balanced': </w:t>
      </w:r>
      <w:r>
        <w:rPr>
          <w:sz w:val="24"/>
          <w:szCs w:val="24"/>
        </w:rPr>
        <w:t xml:space="preserve">The proposal commits to using class_weight='balanced' for RandomForestClassifier and SVC in Phase 2 regardless of balance. This is a proposal commitment, not an imbalance response. The balanced EDA finding means it will not hurt performance.</w:t>
      </w:r>
    </w:p>
    <w:p>
      <w:r>
        <w:t xml:space="preserve"/>
      </w:r>
    </w:p>
    <w:p>
      <w:pPr>
        <w:pStyle w:val="Heading3"/>
      </w:pPr>
      <w:r>
        <w:t xml:space="preserve">D4 — Recommended_Meal_Plan (4 classes)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220"/>
      </w:tblGrid>
      <w:tr>
        <w:tc>
          <w:tcPr>
            <w:tcW w:type="dxa" w:w="31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2"/>
                <w:szCs w:val="22"/>
              </w:rPr>
              <w:t xml:space="preserve">Class</w:t>
            </w:r>
          </w:p>
        </w:tc>
        <w:tc>
          <w:tcPr>
            <w:tcW w:type="dxa" w:w="15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2"/>
                <w:szCs w:val="22"/>
              </w:rPr>
              <w:t xml:space="preserve">Count</w:t>
            </w:r>
          </w:p>
        </w:tc>
        <w:tc>
          <w:tcPr>
            <w:tcW w:type="dxa" w:w="15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2"/>
                <w:szCs w:val="22"/>
              </w:rPr>
              <w:t xml:space="preserve">%</w:t>
            </w:r>
          </w:p>
        </w:tc>
        <w:tc>
          <w:tcPr>
            <w:tcW w:type="dxa" w:w="32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2"/>
                <w:szCs w:val="22"/>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Low-Fat Diet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1313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26.3%</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Largest class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High-Protein Diet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1255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25.1%</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Balanced Diet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1250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25.0%</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Low-Carb Diet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1182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23.6%</w:t>
            </w:r>
          </w:p>
        </w:tc>
        <w:tc>
          <w:tcPr>
            <w:tcW w:type="dxa" w:w="32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Smallest class</w:t>
            </w:r>
          </w:p>
        </w:tc>
      </w:tr>
    </w:tbl>
    <w:p>
      <w:r>
        <w:t xml:space="preserve"/>
      </w:r>
    </w:p>
    <w:p>
      <w:r>
        <w:rPr>
          <w:b/>
          <w:bCs/>
          <w:sz w:val="24"/>
          <w:szCs w:val="24"/>
        </w:rPr>
        <w:t xml:space="preserve">Verdict: </w:t>
      </w:r>
      <w:r>
        <w:rPr>
          <w:sz w:val="24"/>
          <w:szCs w:val="24"/>
        </w:rPr>
        <w:t xml:space="preserve">Balanced — 2.7 pp spread. Class imbalance is not a concern for Phase 3 training.</w:t>
      </w:r>
    </w:p>
    <w:p>
      <w:r>
        <w:t xml:space="preserve"/>
      </w:r>
    </w:p>
    <w:p>
      <w:pPr>
        <w:pStyle w:val="Heading2"/>
      </w:pPr>
      <w:r>
        <w:t xml:space="preserve">Section D — Imputation Review (Phase 1.3)</w:t>
      </w:r>
    </w:p>
    <w:p>
      <w:pPr>
        <w:pStyle w:val="Heading3"/>
      </w:pPr>
      <w:r>
        <w:t xml:space="preserve">D1</w:t>
      </w:r>
    </w:p>
    <w:p>
      <w:r>
        <w:rPr>
          <w:sz w:val="24"/>
          <w:szCs w:val="24"/>
        </w:rPr>
        <w:t xml:space="preserve">Zero missing values confirmed (isna().sum().sum() = 0, assertion passed). No imputation was required pre- or post-cleaning.</w:t>
      </w:r>
    </w:p>
    <w:p>
      <w:r>
        <w:t xml:space="preserve"/>
      </w:r>
    </w:p>
    <w:p>
      <w:pPr>
        <w:pStyle w:val="Heading3"/>
      </w:pPr>
      <w:r>
        <w:t xml:space="preserve">D4</w:t>
      </w:r>
    </w:p>
    <w:p>
      <w:r>
        <w:rPr>
          <w:sz w:val="24"/>
          <w:szCs w:val="24"/>
        </w:rPr>
        <w:t xml:space="preserve">Three columns — Chronic_Disease, Allergies, Food_Aversions — had blank entries recoded to the string "None" during cleaning. This was a deliberate missingness-as-information decision (Lecture 3.4, p.10): a blank allergy field means the patient has no allergy, not that the value is unknown.</w:t>
      </w:r>
    </w:p>
    <w:p>
      <w:r>
        <w:t xml:space="preserve"/>
      </w:r>
    </w:p>
    <w:p>
      <w:r>
        <w:rPr>
          <w:sz w:val="24"/>
          <w:szCs w:val="24"/>
        </w:rPr>
        <w:t xml:space="preserve">Imputing the mode (e.g. "Lactose Intolerance" for Allergies) would incorrectly restrict food choices for patients who have none. Confirmed via value_counts(dropna=False):</w:t>
      </w:r>
    </w:p>
    <w:p>
      <w:r>
        <w:t xml:space="preserve"/>
      </w:r>
    </w:p>
    <w:p>
      <w:pPr>
        <w:pStyle w:val="ListParagraph"/>
        <w:numPr>
          <w:ilvl w:val="0"/>
          <w:numId w:val="2"/>
        </w:numPr>
      </w:pPr>
      <w:r>
        <w:rPr>
          <w:sz w:val="24"/>
          <w:szCs w:val="24"/>
        </w:rPr>
        <w:t xml:space="preserve">Chronic_Disease: None = 2043</w:t>
      </w:r>
    </w:p>
    <w:p>
      <w:pPr>
        <w:pStyle w:val="ListParagraph"/>
        <w:numPr>
          <w:ilvl w:val="0"/>
          <w:numId w:val="2"/>
        </w:numPr>
      </w:pPr>
      <w:r>
        <w:rPr>
          <w:sz w:val="24"/>
          <w:szCs w:val="24"/>
        </w:rPr>
        <w:t xml:space="preserve">Allergies: None = 3497</w:t>
      </w:r>
    </w:p>
    <w:p>
      <w:pPr>
        <w:pStyle w:val="ListParagraph"/>
        <w:numPr>
          <w:ilvl w:val="0"/>
          <w:numId w:val="2"/>
        </w:numPr>
      </w:pPr>
      <w:r>
        <w:rPr>
          <w:sz w:val="24"/>
          <w:szCs w:val="24"/>
        </w:rPr>
        <w:t xml:space="preserve">Food_Aversions: None = 1225</w:t>
      </w:r>
    </w:p>
    <w:p>
      <w:r>
        <w:t xml:space="preserve"/>
      </w:r>
    </w:p>
    <w:p>
      <w:r>
        <w:rPr>
          <w:sz w:val="24"/>
          <w:szCs w:val="24"/>
        </w:rPr>
        <w:t xml:space="preserve">No NaN entries were present in any of the three columns.</w:t>
      </w:r>
    </w:p>
    <w:p>
      <w:r>
        <w:t xml:space="preserve"/>
      </w:r>
    </w:p>
    <w:p>
      <w:pPr>
        <w:pStyle w:val="Heading2"/>
      </w:pPr>
      <w:r>
        <w:t xml:space="preserve">Section E — Bivariate and Multivariate Analysis (D1 only)</w:t>
      </w:r>
    </w:p>
    <w:p>
      <w:pPr>
        <w:pStyle w:val="Heading3"/>
      </w:pPr>
      <w:r>
        <w:t xml:space="preserve">Scatter matrix</w:t>
      </w:r>
    </w:p>
    <w:p>
      <w:r>
        <w:rPr>
          <w:sz w:val="24"/>
          <w:szCs w:val="24"/>
        </w:rPr>
        <w:t xml:space="preserve">9×9 scatter matrix of all D1 continuous features coloured by the 7-class Obesity target. Full 2087 rows (not downsampled). Visible class separation is strongest in panels involving Weight and BMI — consistent with the Obesity target being derived from BMI bands.</w:t>
      </w:r>
    </w:p>
    <w:p>
      <w:r>
        <w:t xml:space="preserve"/>
      </w:r>
    </w:p>
    <w:p>
      <w:pPr>
        <w:pStyle w:val="Heading3"/>
      </w:pPr>
      <w:r>
        <w:t xml:space="preserve">Pearson correlation heatmap</w:t>
      </w:r>
    </w:p>
    <w:p>
      <w:r>
        <w:rPr>
          <w:sz w:val="24"/>
          <w:szCs w:val="24"/>
        </w:rPr>
        <w:t xml:space="preserve">One pair flagged at |r| &gt; 0.7:</w:t>
      </w:r>
    </w:p>
    <w:p>
      <w:r>
        <w:t xml:space="preserve"/>
      </w:r>
    </w:p>
    <w:p>
      <w:r>
        <w:rPr>
          <w:b/>
          <w:bCs/>
          <w:sz w:val="24"/>
          <w:szCs w:val="24"/>
        </w:rPr>
        <w:t xml:space="preserve">BMI – Weight: r = 0.934. </w:t>
      </w:r>
      <w:r>
        <w:rPr>
          <w:sz w:val="24"/>
          <w:szCs w:val="24"/>
        </w:rPr>
        <w:t xml:space="preserve">This is a deterministic-derivation correlation (BMI = Weight / Height²), not a discovered relationship. It supports the Phase 2 decision to drop Height and Weight rather than being a multicollinearity problem to solve.</w:t>
      </w:r>
    </w:p>
    <w:p>
      <w:r>
        <w:t xml:space="preserve"/>
      </w:r>
    </w:p>
    <w:p>
      <w:r>
        <w:rPr>
          <w:sz w:val="24"/>
          <w:szCs w:val="24"/>
        </w:rPr>
        <w:t xml:space="preserve">No other feature pair exceeded the threshold.</w:t>
      </w:r>
    </w:p>
    <w:p>
      <w:r>
        <w:t xml:space="preserve"/>
      </w:r>
    </w:p>
    <w:p>
      <w:pPr>
        <w:pStyle w:val="Heading3"/>
      </w:pPr>
      <w:r>
        <w:t xml:space="preserve">Spearman correlation heatmap</w:t>
      </w:r>
    </w:p>
    <w:p>
      <w:r>
        <w:rPr>
          <w:sz w:val="24"/>
          <w:szCs w:val="24"/>
        </w:rPr>
        <w:t xml:space="preserve">Same flagged pair: BMI–Weight (ρ = 0.929). Full agreement with Pearson on all other patterns.</w:t>
      </w:r>
    </w:p>
    <w:p>
      <w:r>
        <w:t xml:space="preserve"/>
      </w:r>
    </w:p>
    <w:p>
      <w:pPr>
        <w:pStyle w:val="Heading3"/>
      </w:pPr>
      <w:r>
        <w:t xml:space="preserve">Pearson vs Spearman comparison</w:t>
      </w:r>
    </w:p>
    <w:p>
      <w:r>
        <w:rPr>
          <w:sz w:val="24"/>
          <w:szCs w:val="24"/>
        </w:rPr>
        <w:t xml:space="preserve">The two matrices agree on the dominant relationship (BMI–Weight) and on the near-zero correlations among lifestyle features. Key divergences:</w:t>
      </w:r>
    </w:p>
    <w:p>
      <w:r>
        <w:t xml:space="preserve"/>
      </w:r>
    </w:p>
    <w:p>
      <w:pPr>
        <w:pStyle w:val="ListParagraph"/>
        <w:numPr>
          <w:ilvl w:val="0"/>
          <w:numId w:val="2"/>
        </w:numPr>
      </w:pPr>
      <w:r>
        <w:rPr>
          <w:sz w:val="24"/>
          <w:szCs w:val="24"/>
        </w:rPr>
        <w:t xml:space="preserve">Age–Weight and Age–BMI: Spearman exceeds Pearson by +0.152 and +0.155 respectively — indicating the age–adiposity relationship is monotonic but non-linear, consistent with Age's right skew (+1.514).</w:t>
      </w:r>
    </w:p>
    <w:p>
      <w:pPr>
        <w:pStyle w:val="ListParagraph"/>
        <w:numPr>
          <w:ilvl w:val="0"/>
          <w:numId w:val="2"/>
        </w:numPr>
      </w:pPr>
      <w:r>
        <w:rPr>
          <w:sz w:val="24"/>
          <w:szCs w:val="24"/>
        </w:rPr>
        <w:t xml:space="preserve">NCP–Weight: sign flip (Pearson +0.092, Spearman −0.012) — attributable to Pearson's sensitivity to the sparse NCP=1 tail of the discrete ordinal distribution. These values were explicitly retained as valid in cleaning (not outliers).</w:t>
      </w:r>
    </w:p>
    <w:p>
      <w:r>
        <w:t xml:space="preserve"/>
      </w:r>
    </w:p>
    <w:p>
      <w:pPr>
        <w:pStyle w:val="Heading2"/>
      </w:pPr>
      <w:r>
        <w:t xml:space="preserve">Section F — Phase 2 Prep Notes</w:t>
      </w:r>
    </w:p>
    <w:p>
      <w:r>
        <w:rPr>
          <w:sz w:val="24"/>
          <w:szCs w:val="24"/>
        </w:rPr>
        <w:t xml:space="preserve">These are documented decisions for Phase 2. Nothing is implemented in the EDA notebook.</w:t>
      </w:r>
    </w:p>
    <w:p>
      <w:r>
        <w:t xml:space="preserve"/>
      </w:r>
    </w:p>
    <w:p>
      <w:pPr>
        <w:pStyle w:val="Heading3"/>
      </w:pPr>
      <w:r>
        <w:t xml:space="preserve">Decision 1 — Remove 170 BMI-band-mismatched rows (8.15%)</w:t>
      </w:r>
    </w:p>
    <w:p>
      <w:r>
        <w:rPr>
          <w:sz w:val="24"/>
          <w:szCs w:val="24"/>
        </w:rPr>
        <w:t xml:space="preserve">Rows where the recomputed BMI does not fall within the WHO band for the labelled Obesity class. These are label-noise rows: the survey-reported Height and Weight are internally inconsistent with the assigned class.</w:t>
      </w:r>
    </w:p>
    <w:p>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4730"/>
        <w:gridCol w:w="4730"/>
      </w:tblGrid>
      <w:tr>
        <w:tc>
          <w:tcPr>
            <w:tcW w:type="dxa" w:w="473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2"/>
                <w:szCs w:val="22"/>
              </w:rPr>
              <w:t xml:space="preserve">Labelled class</w:t>
            </w:r>
          </w:p>
        </w:tc>
        <w:tc>
          <w:tcPr>
            <w:tcW w:type="dxa" w:w="473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2"/>
                <w:szCs w:val="22"/>
              </w:rPr>
              <w:t xml:space="preserve">Mismatched rows</w:t>
            </w:r>
          </w:p>
        </w:tc>
      </w:tr>
      <w:tr>
        <w:tc>
          <w:tcPr>
            <w:tcW w:type="dxa" w:w="4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Overweight_Level_II</w:t>
            </w:r>
          </w:p>
        </w:tc>
        <w:tc>
          <w:tcPr>
            <w:tcW w:type="dxa" w:w="4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66</w:t>
            </w:r>
          </w:p>
        </w:tc>
      </w:tr>
      <w:tr>
        <w:tc>
          <w:tcPr>
            <w:tcW w:type="dxa" w:w="4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Obesity_Type_III</w:t>
            </w:r>
          </w:p>
        </w:tc>
        <w:tc>
          <w:tcPr>
            <w:tcW w:type="dxa" w:w="4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56</w:t>
            </w:r>
          </w:p>
        </w:tc>
      </w:tr>
      <w:tr>
        <w:tc>
          <w:tcPr>
            <w:tcW w:type="dxa" w:w="4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Overweight_Level_I</w:t>
            </w:r>
          </w:p>
        </w:tc>
        <w:tc>
          <w:tcPr>
            <w:tcW w:type="dxa" w:w="4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18</w:t>
            </w:r>
          </w:p>
        </w:tc>
      </w:tr>
      <w:tr>
        <w:tc>
          <w:tcPr>
            <w:tcW w:type="dxa" w:w="4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Obesity_Type_II</w:t>
            </w:r>
          </w:p>
        </w:tc>
        <w:tc>
          <w:tcPr>
            <w:tcW w:type="dxa" w:w="4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18</w:t>
            </w:r>
          </w:p>
        </w:tc>
      </w:tr>
      <w:tr>
        <w:tc>
          <w:tcPr>
            <w:tcW w:type="dxa" w:w="4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Obesity_Type_I</w:t>
            </w:r>
          </w:p>
        </w:tc>
        <w:tc>
          <w:tcPr>
            <w:tcW w:type="dxa" w:w="4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w:t>
            </w:r>
          </w:p>
        </w:tc>
      </w:tr>
      <w:tr>
        <w:tc>
          <w:tcPr>
            <w:tcW w:type="dxa" w:w="4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Insufficient_Weight</w:t>
            </w:r>
          </w:p>
        </w:tc>
        <w:tc>
          <w:tcPr>
            <w:tcW w:type="dxa" w:w="4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4</w:t>
            </w:r>
          </w:p>
        </w:tc>
      </w:tr>
      <w:tr>
        <w:tc>
          <w:tcPr>
            <w:tcW w:type="dxa" w:w="4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Normal_Weight</w:t>
            </w:r>
          </w:p>
        </w:tc>
        <w:tc>
          <w:tcPr>
            <w:tcW w:type="dxa" w:w="4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w:t>
            </w:r>
          </w:p>
        </w:tc>
      </w:tr>
      <w:tr>
        <w:tc>
          <w:tcPr>
            <w:tcW w:type="dxa" w:w="4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Total</w:t>
            </w:r>
          </w:p>
        </w:tc>
        <w:tc>
          <w:tcPr>
            <w:tcW w:type="dxa" w:w="47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170 (8.15%)</w:t>
            </w:r>
          </w:p>
        </w:tc>
      </w:tr>
    </w:tbl>
    <w:p>
      <w:r>
        <w:t xml:space="preserve"/>
      </w:r>
    </w:p>
    <w:p>
      <w:r>
        <w:rPr>
          <w:sz w:val="24"/>
          <w:szCs w:val="24"/>
        </w:rPr>
        <w:t xml:space="preserve">Proposed action: drop these 170 rows before Phase 2 training. Remaining rows: 1917. The cleaned CSV is unchanged.</w:t>
      </w:r>
    </w:p>
    <w:p>
      <w:r>
        <w:t xml:space="preserve"/>
      </w:r>
    </w:p>
    <w:p>
      <w:pPr>
        <w:pStyle w:val="Heading3"/>
      </w:pPr>
      <w:r>
        <w:t xml:space="preserve">Decision 2 — Drop Height and Weight from the feature matrix</w:t>
      </w:r>
    </w:p>
    <w:p>
      <w:r>
        <w:rPr>
          <w:sz w:val="24"/>
          <w:szCs w:val="24"/>
        </w:rPr>
        <w:t xml:space="preserve">BMI is Weight / Height² and the 7-class target is BMI-band-derived. Retaining Height and Weight alongside BMI allows the classifier to reconstruct the BMI threshold function directly — learning the label formula rather than the lifestyle drivers of obesity.</w:t>
      </w:r>
    </w:p>
    <w:p>
      <w:r>
        <w:t xml:space="preserve"/>
      </w:r>
    </w:p>
    <w:p>
      <w:r>
        <w:rPr>
          <w:sz w:val="24"/>
          <w:szCs w:val="24"/>
        </w:rPr>
        <w:t xml:space="preserve">Proposed action: drop Height and Weight before training. The Phase 2 classifier will learn from:</w:t>
      </w:r>
    </w:p>
    <w:p>
      <w:r>
        <w:t xml:space="preserve"/>
      </w:r>
    </w:p>
    <w:p>
      <w:pPr>
        <w:pStyle w:val="ListParagraph"/>
        <w:numPr>
          <w:ilvl w:val="0"/>
          <w:numId w:val="2"/>
        </w:numPr>
      </w:pPr>
      <w:r>
        <w:rPr>
          <w:sz w:val="24"/>
          <w:szCs w:val="24"/>
        </w:rPr>
        <w:t xml:space="preserve">Lifestyle/behavioural: FCVC, NCP, CAEC, CH2O, FAF, TUE, FAVC, SMOKE, SCC, CALC, MTRANS</w:t>
      </w:r>
    </w:p>
    <w:p>
      <w:pPr>
        <w:pStyle w:val="ListParagraph"/>
        <w:numPr>
          <w:ilvl w:val="0"/>
          <w:numId w:val="2"/>
        </w:numPr>
      </w:pPr>
      <w:r>
        <w:rPr>
          <w:sz w:val="24"/>
          <w:szCs w:val="24"/>
        </w:rPr>
        <w:t xml:space="preserve">Demographic: Gender, Age</w:t>
      </w:r>
    </w:p>
    <w:p>
      <w:pPr>
        <w:pStyle w:val="ListParagraph"/>
        <w:numPr>
          <w:ilvl w:val="0"/>
          <w:numId w:val="2"/>
        </w:numPr>
      </w:pPr>
      <w:r>
        <w:rPr>
          <w:sz w:val="24"/>
          <w:szCs w:val="24"/>
        </w:rPr>
        <w:t xml:space="preserve">Clinical/derived: BMI, family_history</w:t>
      </w:r>
    </w:p>
    <w:p>
      <w:r>
        <w:t xml:space="preserve"/>
      </w:r>
    </w:p>
    <w:p>
      <w:pPr>
        <w:pStyle w:val="Heading2"/>
      </w:pPr>
      <w:r>
        <w:t xml:space="preserve">Section G — Headline Findings Summary</w:t>
      </w:r>
    </w:p>
    <w:p>
      <w:pPr>
        <w:pBdr>
          <w:left w:val="single" w:color="2E5090" w:sz="12" w:space="12"/>
        </w:pBdr>
        <w:spacing w:after="100" w:before="100"/>
        <w:ind w:left="480"/>
      </w:pPr>
      <w:r>
        <w:rPr>
          <w:rFonts w:ascii="Arial" w:cs="Arial" w:eastAsia="Arial" w:hAnsi="Arial"/>
          <w:i/>
          <w:iCs/>
          <w:sz w:val="24"/>
          <w:szCs w:val="24"/>
        </w:rPr>
        <w:t xml:space="preserve">Among D1 continuous features, Age (+1.514), NCP (−1.138), and TUE (+0.609) show notable skew; Height, Weight, BMI, FCVC, CH2O, and FAF are approximately symmetric. D1’s seven Obesity classes are balanced, spanning 12.8% to 16.8% — a 4.0 pp range — and class imbalance is not a concern for Phase 2 training. The strongest Pearson correlation is BMI–Weight (r=0.934), a deterministic-derivation relationship; the only meaningful Pearson–Spearman divergence is on Age–Weight and Age–BMI (+0.152 and +0.155 respectively), indicating a monotonic but non-linear age–adiposity relationship. The four D4 regression targets all have |skew| &lt; 0.02 and span well-defined numeric ranges; no target transformation is required for Phase 3 regression. D4’s four Recommended_Meal_Plan classes are balanced, spanning 23.6% to 26.3% — a 2.7 pp range — and class imbalance is not a concern for Phase 3 training. For Phase 2, 170 BMI-band-mismatched rows (8.15%) are proposed for removal before training, and Height and Weight are proposed for exclusion from the feature matrix so the classifier learns from lifestyle features rather than the BMI derivation formula.</w:t>
      </w:r>
    </w:p>
    <w:p>
      <w:r>
        <w:t xml:space="preserve"/>
      </w:r>
    </w:p>
    <w:p>
      <w:pPr>
        <w:pStyle w:val="Heading1"/>
      </w:pPr>
      <w:r>
        <w:t xml:space="preserve">5. Anticipated Q&amp;A</w:t>
      </w:r>
    </w:p>
    <w:p>
      <w:r>
        <w:rPr>
          <w:sz w:val="24"/>
          <w:szCs w:val="24"/>
        </w:rPr>
        <w:t xml:space="preserve">Likely questions from staff and peers during the Week 13 demo Q&amp;A session:</w:t>
      </w:r>
    </w:p>
    <w:p>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800"/>
        <w:gridCol w:w="5660"/>
      </w:tblGrid>
      <w:tr>
        <w:tc>
          <w:tcPr>
            <w:tcW w:type="dxa" w:w="38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2"/>
                <w:szCs w:val="22"/>
              </w:rPr>
              <w:t xml:space="preserve">Question</w:t>
            </w:r>
          </w:p>
        </w:tc>
        <w:tc>
          <w:tcPr>
            <w:tcW w:type="dxa" w:w="566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r>
              <w:rPr>
                <w:b/>
                <w:bCs/>
                <w:sz w:val="22"/>
                <w:szCs w:val="22"/>
              </w:rPr>
              <w:t xml:space="preserve">Answer</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Why keep_default_na=False for D4?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Pandas treats the string "None" as a missing value sentinel by default. Without this flag, all "None" entries in Chronic_Disease, Allergies, and Food_Aversions would become NaN, erasing meaningful clinical information (no disease, no allergy, no aversion).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Why not log-transform NCP and TUE despite their skew?</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They are discrete ordinal features, not continuous. Log transformation is not meaningful on a 1–4 or 0–2 ordinal scale, and log1p does not compress left skew.</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Why is BMI–Weight r=0.934 not a problem to fix?</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It is expected by construction (BMI = Weight / Height²). The fix is to drop Height and Weight in Phase 2, not to further engineer features.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Why weren't the 170 mismatched rows removed during cleaning?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Cleaning preserved all rows for EDA. Removing them is a training-time decision that affects model integrity, not data integrity.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Why is class_weight='balanced' used in Phase 2 even though classes are balanced?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It is a proposal commitment, not an imbalance response. The EDA finding (balanced) means it will not hurt performance.</w:t>
            </w:r>
          </w:p>
        </w:tc>
      </w:tr>
    </w:tbl>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4"/>
      </w:pBdr>
      <w:tabs>
        <w:tab w:val="right" w:pos="9360"/>
      </w:tabs>
    </w:pPr>
    <w:r>
      <w:rPr>
        <w:rFonts w:ascii="Arial" w:cs="Arial" w:eastAsia="Arial" w:hAnsi="Arial"/>
        <w:b/>
        <w:bCs/>
        <w:color w:val="2E5090"/>
        <w:sz w:val="20"/>
        <w:szCs w:val="20"/>
      </w:rPr>
      <w:t xml:space="preserve">EatWise Engine — Phase 1 EDA Summary</w:t>
    </w:r>
    <w:r>
      <w:rPr>
        <w:rFonts w:ascii="Arial" w:cs="Arial" w:eastAsia="Arial" w:hAnsi="Arial"/>
        <w:color w:val="666666"/>
        <w:sz w:val="20"/>
        <w:szCs w:val="20"/>
      </w:rPr>
      <w:t xml:space="preserve">	BMET2925 | University of Sydney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2026-05-17T04:29:41.112Z</dcterms:created>
  <dcterms:modified xsi:type="dcterms:W3CDTF">2026-05-17T04:29:41.114Z</dcterms:modified>
</cp:coreProperties>
</file>

<file path=docProps/custom.xml><?xml version="1.0" encoding="utf-8"?>
<Properties xmlns="http://schemas.openxmlformats.org/officeDocument/2006/custom-properties" xmlns:vt="http://schemas.openxmlformats.org/officeDocument/2006/docPropsVTypes"/>
</file>