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Access Options for BIP AI Agents</w:t>
      </w:r>
    </w:p>
    <w:p>
      <w:r>
        <w:t>The following table summarizes three options for accessing an LLM during and after the BIP.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259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432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Advantages</w:t>
            </w:r>
          </w:p>
        </w:tc>
        <w:tc>
          <w:tcPr>
            <w:tcW w:type="dxa" w:w="432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Disadvantages</w:t>
            </w:r>
          </w:p>
        </w:tc>
      </w:tr>
      <w:tr>
        <w:tc>
          <w:tcPr>
            <w:tcW w:type="dxa" w:w="2592"/>
            <w:shd w:val="clear" w:color="auto" w:fill="D1FAE5"/>
          </w:tcPr>
          <w:p>
            <w:r/>
            <w:r>
              <w:rPr>
                <w:b/>
                <w:sz w:val="20"/>
              </w:rPr>
              <w:t>Option 1:</w:t>
              <w:br/>
              <w:t>Mistral paid account</w:t>
            </w:r>
          </w:p>
        </w:tc>
        <w:tc>
          <w:tcPr>
            <w:tcW w:type="dxa" w:w="2592"/>
            <w:shd w:val="clear" w:color="auto" w:fill="D1FAE5"/>
          </w:tcPr>
          <w:p>
            <w:pPr>
              <w:jc w:val="center"/>
            </w:pPr>
            <w:r/>
            <w:r>
              <w:rPr>
                <w:i/>
                <w:sz w:val="20"/>
              </w:rPr>
              <w:t>Cloud API</w:t>
              <w:br/>
              <w:t>(pay-per-use)</w:t>
            </w:r>
          </w:p>
        </w:tc>
        <w:tc>
          <w:tcPr>
            <w:tcW w:type="dxa" w:w="4320"/>
            <w:shd w:val="clear" w:color="auto" w:fill="D1FAE5"/>
          </w:tcPr>
          <w:p>
            <w:r/>
            <w:r>
              <w:rPr>
                <w:color w:val="059669"/>
                <w:sz w:val="20"/>
              </w:rPr>
              <w:t>+ You can start creating agents immediately</w:t>
            </w:r>
          </w:p>
          <w:p>
            <w:r>
              <w:rPr>
                <w:color w:val="059669"/>
                <w:sz w:val="20"/>
              </w:rPr>
              <w:t>+ No expensive hardware needed</w:t>
            </w:r>
          </w:p>
          <w:p>
            <w:r>
              <w:rPr>
                <w:color w:val="059669"/>
                <w:sz w:val="20"/>
              </w:rPr>
              <w:t>+ No dependency on a shared subscription</w:t>
            </w:r>
          </w:p>
        </w:tc>
        <w:tc>
          <w:tcPr>
            <w:tcW w:type="dxa" w:w="4320"/>
            <w:shd w:val="clear" w:color="auto" w:fill="D1FAE5"/>
          </w:tcPr>
          <w:p>
            <w:r/>
            <w:r>
              <w:rPr>
                <w:color w:val="DC2626"/>
                <w:sz w:val="20"/>
              </w:rPr>
              <w:t>- Payable: ~20 EUR/month</w:t>
            </w:r>
          </w:p>
          <w:p>
            <w:r>
              <w:rPr>
                <w:color w:val="DC2626"/>
                <w:sz w:val="20"/>
              </w:rPr>
              <w:t>- Sensitive data may travel outside your computer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/>
            <w:r>
              <w:rPr>
                <w:b/>
                <w:sz w:val="20"/>
              </w:rPr>
              <w:t>Option 2:</w:t>
              <w:br/>
              <w:t>UMA shared account</w:t>
            </w:r>
          </w:p>
        </w:tc>
        <w:tc>
          <w:tcPr>
            <w:tcW w:type="dxa" w:w="2592"/>
            <w:shd w:val="clear" w:color="auto" w:fill="DBEAFE"/>
          </w:tcPr>
          <w:p>
            <w:pPr>
              <w:jc w:val="center"/>
            </w:pPr>
            <w:r/>
            <w:r>
              <w:rPr>
                <w:i/>
                <w:sz w:val="20"/>
              </w:rPr>
              <w:t>Cloud API</w:t>
              <w:br/>
              <w:t>(shared, free)</w:t>
            </w:r>
          </w:p>
        </w:tc>
        <w:tc>
          <w:tcPr>
            <w:tcW w:type="dxa" w:w="4320"/>
            <w:shd w:val="clear" w:color="auto" w:fill="DBEAFE"/>
          </w:tcPr>
          <w:p>
            <w:r/>
            <w:r>
              <w:rPr>
                <w:color w:val="059669"/>
                <w:sz w:val="20"/>
              </w:rPr>
              <w:t>+ Free of charge</w:t>
            </w:r>
          </w:p>
        </w:tc>
        <w:tc>
          <w:tcPr>
            <w:tcW w:type="dxa" w:w="4320"/>
            <w:shd w:val="clear" w:color="auto" w:fill="DBEAFE"/>
          </w:tcPr>
          <w:p>
            <w:r/>
            <w:r>
              <w:rPr>
                <w:color w:val="DC2626"/>
                <w:sz w:val="20"/>
              </w:rPr>
              <w:t>- Accessible only during the physical BIP days</w:t>
            </w:r>
          </w:p>
          <w:p>
            <w:r>
              <w:rPr>
                <w:color w:val="DC2626"/>
                <w:sz w:val="20"/>
              </w:rPr>
              <w:t>- May be slow if many participants use it simultaneously</w:t>
            </w:r>
          </w:p>
          <w:p>
            <w:r>
              <w:rPr>
                <w:color w:val="DC2626"/>
                <w:sz w:val="20"/>
              </w:rPr>
              <w:t>- Sensitive data may travel outside your computer</w:t>
            </w:r>
          </w:p>
        </w:tc>
      </w:tr>
      <w:tr>
        <w:tc>
          <w:tcPr>
            <w:tcW w:type="dxa" w:w="2592"/>
            <w:shd w:val="clear" w:color="auto" w:fill="FEF3C7"/>
          </w:tcPr>
          <w:p>
            <w:r/>
            <w:r>
              <w:rPr>
                <w:b/>
                <w:sz w:val="20"/>
              </w:rPr>
              <w:t>Option 3:</w:t>
              <w:br/>
              <w:t>Local Mistral model</w:t>
              <w:br/>
              <w:t>(via Ollama)</w:t>
            </w:r>
          </w:p>
        </w:tc>
        <w:tc>
          <w:tcPr>
            <w:tcW w:type="dxa" w:w="2592"/>
            <w:shd w:val="clear" w:color="auto" w:fill="FEF3C7"/>
          </w:tcPr>
          <w:p>
            <w:pPr>
              <w:jc w:val="center"/>
            </w:pPr>
            <w:r/>
            <w:r>
              <w:rPr>
                <w:i/>
                <w:sz w:val="20"/>
              </w:rPr>
              <w:t>On-premise</w:t>
              <w:br/>
              <w:t>(local, free)</w:t>
            </w:r>
          </w:p>
        </w:tc>
        <w:tc>
          <w:tcPr>
            <w:tcW w:type="dxa" w:w="4320"/>
            <w:shd w:val="clear" w:color="auto" w:fill="FEF3C7"/>
          </w:tcPr>
          <w:p>
            <w:r/>
            <w:r>
              <w:rPr>
                <w:color w:val="059669"/>
                <w:sz w:val="20"/>
              </w:rPr>
              <w:t>+ Free of charge</w:t>
            </w:r>
          </w:p>
          <w:p>
            <w:r>
              <w:rPr>
                <w:color w:val="059669"/>
                <w:sz w:val="20"/>
              </w:rPr>
              <w:t>+ No risk for sensitive data (everything stays on your computer)</w:t>
            </w:r>
          </w:p>
        </w:tc>
        <w:tc>
          <w:tcPr>
            <w:tcW w:type="dxa" w:w="4320"/>
            <w:shd w:val="clear" w:color="auto" w:fill="FEF3C7"/>
          </w:tcPr>
          <w:p>
            <w:r/>
            <w:r>
              <w:rPr>
                <w:color w:val="DC2626"/>
                <w:sz w:val="20"/>
              </w:rPr>
              <w:t>- Requires installing an additional application (Ollama)</w:t>
            </w:r>
          </w:p>
          <w:p>
            <w:r>
              <w:rPr>
                <w:color w:val="DC2626"/>
                <w:sz w:val="20"/>
              </w:rPr>
              <w:t>- Requires a sufficiently powerful computer (ideally with a GPU)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