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748B"/>
          <w:sz w:val="24"/>
        </w:rPr>
        <w:t>HORIZON-CL4-2026-05-DIGITAL-EMERGING-02</w:t>
      </w:r>
    </w:p>
    <w:p>
      <w:pPr>
        <w:jc w:val="center"/>
      </w:pPr>
      <w:r>
        <w:rPr>
          <w:b/>
          <w:color w:val="2563EB"/>
          <w:sz w:val="28"/>
        </w:rPr>
        <w:t>Next-Generation AI Agents for Real-World Applications</w:t>
      </w:r>
    </w:p>
    <w:p/>
    <w:p>
      <w:pPr>
        <w:jc w:val="center"/>
      </w:pPr>
      <w:r>
        <w:rPr>
          <w:b/>
          <w:sz w:val="48"/>
        </w:rPr>
        <w:t>TRANSPARENT</w:t>
      </w:r>
    </w:p>
    <w:p>
      <w:pPr>
        <w:jc w:val="center"/>
      </w:pPr>
      <w:r>
        <w:rPr>
          <w:i/>
          <w:sz w:val="22"/>
        </w:rPr>
        <w:t>Trustworthy, Reliable, and Accountable Next-generation Smart</w:t>
        <w:br/>
        <w:t>Platforms for AI Agent Real-world Evaluation, Navigation and Testing</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Call</w:t>
            </w:r>
          </w:p>
        </w:tc>
        <w:tc>
          <w:tcPr>
            <w:tcW w:type="dxa" w:w="4320"/>
          </w:tcPr>
          <w:p>
            <w:r>
              <w:rPr>
                <w:sz w:val="18"/>
              </w:rPr>
              <w:t>HORIZON-CL4-2026-05-DIGITAL-EMERGING-02</w:t>
            </w:r>
          </w:p>
        </w:tc>
      </w:tr>
      <w:tr>
        <w:tc>
          <w:tcPr>
            <w:tcW w:type="dxa" w:w="4320"/>
          </w:tcPr>
          <w:p>
            <w:r>
              <w:rPr>
                <w:sz w:val="18"/>
              </w:rPr>
              <w:t>Type of action</w:t>
            </w:r>
          </w:p>
        </w:tc>
        <w:tc>
          <w:tcPr>
            <w:tcW w:type="dxa" w:w="4320"/>
          </w:tcPr>
          <w:p>
            <w:r>
              <w:rPr>
                <w:sz w:val="18"/>
              </w:rPr>
              <w:t>RIA (Research and Innovation Action)</w:t>
            </w:r>
          </w:p>
        </w:tc>
      </w:tr>
      <w:tr>
        <w:tc>
          <w:tcPr>
            <w:tcW w:type="dxa" w:w="4320"/>
          </w:tcPr>
          <w:p>
            <w:r>
              <w:rPr>
                <w:sz w:val="18"/>
              </w:rPr>
              <w:t>Duration</w:t>
            </w:r>
          </w:p>
        </w:tc>
        <w:tc>
          <w:tcPr>
            <w:tcW w:type="dxa" w:w="4320"/>
          </w:tcPr>
          <w:p>
            <w:r>
              <w:rPr>
                <w:sz w:val="18"/>
              </w:rPr>
              <w:t>36 months</w:t>
            </w:r>
          </w:p>
        </w:tc>
      </w:tr>
      <w:tr>
        <w:tc>
          <w:tcPr>
            <w:tcW w:type="dxa" w:w="4320"/>
          </w:tcPr>
          <w:p>
            <w:r>
              <w:rPr>
                <w:sz w:val="18"/>
              </w:rPr>
              <w:t>Requested EU contribution</w:t>
            </w:r>
          </w:p>
        </w:tc>
        <w:tc>
          <w:tcPr>
            <w:tcW w:type="dxa" w:w="4320"/>
          </w:tcPr>
          <w:p>
            <w:r>
              <w:rPr>
                <w:sz w:val="18"/>
              </w:rPr>
              <w:t>EUR 18,500,000</w:t>
            </w:r>
          </w:p>
        </w:tc>
      </w:tr>
      <w:tr>
        <w:tc>
          <w:tcPr>
            <w:tcW w:type="dxa" w:w="4320"/>
          </w:tcPr>
          <w:p>
            <w:r>
              <w:rPr>
                <w:sz w:val="18"/>
              </w:rPr>
              <w:t>TRL</w:t>
            </w:r>
          </w:p>
        </w:tc>
        <w:tc>
          <w:tcPr>
            <w:tcW w:type="dxa" w:w="4320"/>
          </w:tcPr>
          <w:p>
            <w:r>
              <w:rPr>
                <w:sz w:val="18"/>
              </w:rPr>
              <w:t>Start: TRL 3 → End: TRL 5</w:t>
            </w:r>
          </w:p>
        </w:tc>
      </w:tr>
      <w:tr>
        <w:tc>
          <w:tcPr>
            <w:tcW w:type="dxa" w:w="4320"/>
          </w:tcPr>
          <w:p>
            <w:r>
              <w:rPr>
                <w:sz w:val="18"/>
              </w:rPr>
              <w:t>Partnership</w:t>
            </w:r>
          </w:p>
        </w:tc>
        <w:tc>
          <w:tcPr>
            <w:tcW w:type="dxa" w:w="4320"/>
          </w:tcPr>
          <w:p>
            <w:r>
              <w:rPr>
                <w:sz w:val="18"/>
              </w:rPr>
              <w:t>AI, Data and Robotics (ADRA)</w:t>
            </w:r>
          </w:p>
        </w:tc>
      </w:tr>
      <w:tr>
        <w:tc>
          <w:tcPr>
            <w:tcW w:type="dxa" w:w="4320"/>
          </w:tcPr>
          <w:p>
            <w:r>
              <w:rPr>
                <w:sz w:val="18"/>
              </w:rPr>
              <w:t>Coordinator</w:t>
            </w:r>
          </w:p>
        </w:tc>
        <w:tc>
          <w:tcPr>
            <w:tcW w:type="dxa" w:w="4320"/>
          </w:tcPr>
          <w:p>
            <w:r>
              <w:rPr>
                <w:sz w:val="18"/>
              </w:rPr>
              <w:t>Universidad de Malaga (UMA), Spain</w:t>
            </w:r>
          </w:p>
        </w:tc>
      </w:tr>
    </w:tbl>
    <w:p>
      <w:r>
        <w:br w:type="page"/>
      </w:r>
    </w:p>
    <w:p>
      <w:pPr>
        <w:pStyle w:val="Heading1"/>
      </w:pPr>
      <w:r>
        <w:t>1. Excellence</w:t>
      </w:r>
    </w:p>
    <w:p>
      <w:pPr>
        <w:pStyle w:val="Heading2"/>
      </w:pPr>
      <w:r>
        <w:t>1.1 Vision and Objectives</w:t>
      </w:r>
    </w:p>
    <w:p>
      <w:r>
        <w:rPr>
          <w:b w:val="0"/>
          <w:i w:val="0"/>
          <w:sz w:val="22"/>
        </w:rPr>
        <w:t>The central premise of TRANSPARENT is that the next generation of AI agents must be not only capable but also trustworthy, verifiable, and compliant with the EU AI Act. Current AI agent frameworks prioritise autonomy and capability; TRANSPARENT adds the missing layer of accountability.</w:t>
      </w:r>
    </w:p>
    <w:p>
      <w:r>
        <w:rPr>
          <w:b/>
          <w:i w:val="0"/>
          <w:sz w:val="22"/>
        </w:rPr>
        <w:t>The project addresses two complementary challenges:</w:t>
      </w:r>
    </w:p>
    <w:p>
      <w:r>
        <w:rPr>
          <w:b w:val="0"/>
          <w:i w:val="0"/>
          <w:sz w:val="22"/>
        </w:rPr>
        <w:t>Challenge A — Autonomous AI agent capabilities (to be developed in TRANSPARENT)</w:t>
      </w:r>
    </w:p>
    <w:p>
      <w:pPr>
        <w:pStyle w:val="ListBullet"/>
      </w:pPr>
      <w:r>
        <w:rPr>
          <w:sz w:val="20"/>
        </w:rPr>
        <w:t>Dynamic planning: agents that decompose complex goals into sub-tasks, select tools autonomously, and replan when intermediate steps fail</w:t>
      </w:r>
    </w:p>
    <w:p>
      <w:pPr>
        <w:pStyle w:val="ListBullet"/>
      </w:pPr>
      <w:r>
        <w:rPr>
          <w:sz w:val="20"/>
        </w:rPr>
        <w:t>Persistent memory: cross-session knowledge retention, user preference learning, and long-term context management</w:t>
      </w:r>
    </w:p>
    <w:p>
      <w:pPr>
        <w:pStyle w:val="ListBullet"/>
      </w:pPr>
      <w:r>
        <w:rPr>
          <w:sz w:val="20"/>
        </w:rPr>
        <w:t>Multi-agent coordination: agents that delegate, negotiate, and collaborate — not just coexist</w:t>
      </w:r>
    </w:p>
    <w:p>
      <w:pPr>
        <w:pStyle w:val="ListBullet"/>
      </w:pPr>
      <w:r>
        <w:rPr>
          <w:sz w:val="20"/>
        </w:rPr>
        <w:t>Autonomous tool selection: agents that decide which tools to invoke based on the query, rather than following a fixed pipeline</w:t>
      </w:r>
    </w:p>
    <w:p>
      <w:r>
        <w:rPr>
          <w:b w:val="0"/>
          <w:i w:val="0"/>
          <w:sz w:val="22"/>
        </w:rPr>
        <w:t>Challenge B — Trustworthiness and compliance (TOMMI baseline, to be extended)</w:t>
      </w:r>
    </w:p>
    <w:p>
      <w:pPr>
        <w:pStyle w:val="ListBullet"/>
      </w:pPr>
      <w:r>
        <w:rPr>
          <w:sz w:val="20"/>
        </w:rPr>
        <w:t>Graduated transparency: source attribution and reliability scoring at every layer of the agent pipeline</w:t>
      </w:r>
    </w:p>
    <w:p>
      <w:pPr>
        <w:pStyle w:val="ListBullet"/>
      </w:pPr>
      <w:r>
        <w:rPr>
          <w:sz w:val="20"/>
        </w:rPr>
        <w:t>Real-time hallucination detection: claim-level verification against the knowledge base</w:t>
      </w:r>
    </w:p>
    <w:p>
      <w:pPr>
        <w:pStyle w:val="ListBullet"/>
      </w:pPr>
      <w:r>
        <w:rPr>
          <w:sz w:val="20"/>
        </w:rPr>
        <w:t>EU AI Act compliance-by-design: automated audit logging, risk classification, transparency reporting</w:t>
      </w:r>
    </w:p>
    <w:p>
      <w:pPr>
        <w:pStyle w:val="ListBullet"/>
      </w:pPr>
      <w:r>
        <w:rPr>
          <w:sz w:val="20"/>
        </w:rPr>
        <w:t>Structured evaluation methodology: error taxonomy, tester protocol, quantitative KPIs</w:t>
      </w:r>
    </w:p>
    <w:p>
      <w:r>
        <w:rPr>
          <w:b/>
          <w:i w:val="0"/>
          <w:sz w:val="22"/>
        </w:rPr>
        <w:t>Specific objectives:</w:t>
      </w:r>
    </w:p>
    <w:p>
      <w:r>
        <w:rPr>
          <w:b/>
          <w:sz w:val="20"/>
        </w:rPr>
        <w:t xml:space="preserve">SO1 — Autonomous planning and reasoning for AI agents. </w:t>
      </w:r>
      <w:r>
        <w:rPr>
          <w:sz w:val="20"/>
        </w:rPr>
        <w:t>Develop an orchestrator that dynamically decomposes user goals into sub-tasks, selects the appropriate agent type and tools, and replans if intermediate steps fail. This goes beyond TOMMI's current fixed pipeline (query → retrieval → LLM → response) to enable true goal-directed behaviour.</w:t>
      </w:r>
    </w:p>
    <w:p>
      <w:r>
        <w:rPr>
          <w:b/>
          <w:sz w:val="20"/>
        </w:rPr>
        <w:t xml:space="preserve">SO2 — Persistent memory and cross-session learning. </w:t>
      </w:r>
      <w:r>
        <w:rPr>
          <w:sz w:val="20"/>
        </w:rPr>
        <w:t>Implement long-term memory that persists across sessions, learns user preferences, and builds cumulative knowledge — replacing TOMMI's current ephemeral session history.</w:t>
      </w:r>
    </w:p>
    <w:p>
      <w:r>
        <w:rPr>
          <w:b/>
          <w:sz w:val="20"/>
        </w:rPr>
        <w:t xml:space="preserve">SO3 — Multi-agent coordination with accountability. </w:t>
      </w:r>
      <w:r>
        <w:rPr>
          <w:sz w:val="20"/>
        </w:rPr>
        <w:t>Design protocols for agents to delegate tasks, share intermediate results, and collaborate — while maintaining individual audit trails and accountability chains. Currently, TOMMI agents operate independently; TRANSPARENT will make them collaborative.</w:t>
      </w:r>
    </w:p>
    <w:p>
      <w:r>
        <w:rPr>
          <w:b/>
          <w:sz w:val="20"/>
        </w:rPr>
        <w:t xml:space="preserve">SO4 — Trustworthy verification at scale. </w:t>
      </w:r>
      <w:r>
        <w:rPr>
          <w:sz w:val="20"/>
        </w:rPr>
        <w:t>Extend TOMMI's claim-level verification and hallucination detection to handle multi-agent, multi-step reasoning chains where errors can propagate across agents.</w:t>
      </w:r>
    </w:p>
    <w:p>
      <w:r>
        <w:rPr>
          <w:b/>
          <w:sz w:val="20"/>
        </w:rPr>
        <w:t xml:space="preserve">SO5 — EU AI Act compliance-by-design toolkit. </w:t>
      </w:r>
      <w:r>
        <w:rPr>
          <w:sz w:val="20"/>
        </w:rPr>
        <w:t>Package TOMMI's compliance infrastructure (audit logging, RoPA, Design Cards, transparency notices) into a reusable, open-source toolkit that any AI agent developer can integrate.</w:t>
      </w:r>
    </w:p>
    <w:p>
      <w:r>
        <w:rPr>
          <w:b/>
          <w:sz w:val="20"/>
        </w:rPr>
        <w:t xml:space="preserve">SO6 — Real-world validation in three sectors. </w:t>
      </w:r>
      <w:r>
        <w:rPr>
          <w:sz w:val="20"/>
        </w:rPr>
        <w:t>Validate the complete platform in: (a) research intelligence (UNINOVIS, 8 universities), (b) public administration decision support, and (c) healthcare information retrieval.</w:t>
      </w:r>
    </w:p>
    <w:p>
      <w:pPr>
        <w:pStyle w:val="Heading2"/>
      </w:pPr>
      <w:r>
        <w:t>1.2 Honest Assessment: What Exists vs. What Must Be Built</w:t>
      </w:r>
    </w:p>
    <w:p>
      <w:r>
        <w:rPr>
          <w:b w:val="0"/>
          <w:i w:val="0"/>
          <w:sz w:val="22"/>
        </w:rPr>
        <w:t>TRANSPARENT builds on the TOMMI platform (UMA/UNINOVIS, 2024-2026). To be transparent about our own starting point: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Call requirement</w:t>
            </w:r>
          </w:p>
        </w:tc>
        <w:tc>
          <w:tcPr>
            <w:tcW w:type="dxa" w:w="2160"/>
          </w:tcPr>
          <w:p>
            <w:r>
              <w:rPr>
                <w:b/>
                <w:sz w:val="18"/>
              </w:rPr>
              <w:t>TOMMI today (TRL 3-4)</w:t>
            </w:r>
          </w:p>
        </w:tc>
        <w:tc>
          <w:tcPr>
            <w:tcW w:type="dxa" w:w="2160"/>
          </w:tcPr>
          <w:p>
            <w:r>
              <w:rPr>
                <w:b/>
                <w:sz w:val="18"/>
              </w:rPr>
              <w:t>Gap</w:t>
            </w:r>
          </w:p>
        </w:tc>
        <w:tc>
          <w:tcPr>
            <w:tcW w:type="dxa" w:w="2160"/>
          </w:tcPr>
          <w:p>
            <w:r>
              <w:rPr>
                <w:b/>
                <w:sz w:val="18"/>
              </w:rPr>
              <w:t>TRANSPARENT target (TRL 5)</w:t>
            </w:r>
          </w:p>
        </w:tc>
      </w:tr>
      <w:tr>
        <w:tc>
          <w:tcPr>
            <w:tcW w:type="dxa" w:w="2160"/>
          </w:tcPr>
          <w:p>
            <w:r>
              <w:rPr>
                <w:sz w:val="18"/>
              </w:rPr>
              <w:t>Planning &amp; reasoning</w:t>
            </w:r>
          </w:p>
        </w:tc>
        <w:tc>
          <w:tcPr>
            <w:tcW w:type="dxa" w:w="2160"/>
          </w:tcPr>
          <w:p>
            <w:r>
              <w:rPr>
                <w:sz w:val="18"/>
              </w:rPr>
              <w:t>Fixed pipeline: query → retrieval → LLM → response. No dynamic planning or sub-goal decomposition.</w:t>
            </w:r>
          </w:p>
        </w:tc>
        <w:tc>
          <w:tcPr>
            <w:tcW w:type="dxa" w:w="2160"/>
          </w:tcPr>
          <w:p>
            <w:r>
              <w:rPr>
                <w:sz w:val="18"/>
              </w:rPr>
              <w:t>Large</w:t>
            </w:r>
          </w:p>
        </w:tc>
        <w:tc>
          <w:tcPr>
            <w:tcW w:type="dxa" w:w="2160"/>
          </w:tcPr>
          <w:p>
            <w:r>
              <w:rPr>
                <w:sz w:val="18"/>
              </w:rPr>
              <w:t>Dynamic orchestrator with sub-task decomposition, tool selection, and replanning on failure</w:t>
            </w:r>
          </w:p>
        </w:tc>
      </w:tr>
      <w:tr>
        <w:tc>
          <w:tcPr>
            <w:tcW w:type="dxa" w:w="2160"/>
          </w:tcPr>
          <w:p>
            <w:r>
              <w:rPr>
                <w:sz w:val="18"/>
              </w:rPr>
              <w:t>Memory management</w:t>
            </w:r>
          </w:p>
        </w:tc>
        <w:tc>
          <w:tcPr>
            <w:tcW w:type="dxa" w:w="2160"/>
          </w:tcPr>
          <w:p>
            <w:r>
              <w:rPr>
                <w:sz w:val="18"/>
              </w:rPr>
              <w:t>Session history (in-memory, lost on restart). No cross-session learning.</w:t>
            </w:r>
          </w:p>
        </w:tc>
        <w:tc>
          <w:tcPr>
            <w:tcW w:type="dxa" w:w="2160"/>
          </w:tcPr>
          <w:p>
            <w:r>
              <w:rPr>
                <w:sz w:val="18"/>
              </w:rPr>
              <w:t>Large</w:t>
            </w:r>
          </w:p>
        </w:tc>
        <w:tc>
          <w:tcPr>
            <w:tcW w:type="dxa" w:w="2160"/>
          </w:tcPr>
          <w:p>
            <w:r>
              <w:rPr>
                <w:sz w:val="18"/>
              </w:rPr>
              <w:t>Persistent memory store with user profiles, cumulative knowledge, and preference learning</w:t>
            </w:r>
          </w:p>
        </w:tc>
      </w:tr>
      <w:tr>
        <w:tc>
          <w:tcPr>
            <w:tcW w:type="dxa" w:w="2160"/>
          </w:tcPr>
          <w:p>
            <w:r>
              <w:rPr>
                <w:sz w:val="18"/>
              </w:rPr>
              <w:t>Autonomous tool use</w:t>
            </w:r>
          </w:p>
        </w:tc>
        <w:tc>
          <w:tcPr>
            <w:tcW w:type="dxa" w:w="2160"/>
          </w:tcPr>
          <w:p>
            <w:r>
              <w:rPr>
                <w:sz w:val="18"/>
              </w:rPr>
              <w:t>Each agent type has fixed tools (RAG always does RAG, Text2SQL always does SQL). No autonomous tool selection.</w:t>
            </w:r>
          </w:p>
        </w:tc>
        <w:tc>
          <w:tcPr>
            <w:tcW w:type="dxa" w:w="2160"/>
          </w:tcPr>
          <w:p>
            <w:r>
              <w:rPr>
                <w:sz w:val="18"/>
              </w:rPr>
              <w:t>Medium</w:t>
            </w:r>
          </w:p>
        </w:tc>
        <w:tc>
          <w:tcPr>
            <w:tcW w:type="dxa" w:w="2160"/>
          </w:tcPr>
          <w:p>
            <w:r>
              <w:rPr>
                <w:sz w:val="18"/>
              </w:rPr>
              <w:t>Tool registry with autonomous selection based on query analysis; tool chaining for multi-step tasks</w:t>
            </w:r>
          </w:p>
        </w:tc>
      </w:tr>
      <w:tr>
        <w:tc>
          <w:tcPr>
            <w:tcW w:type="dxa" w:w="2160"/>
          </w:tcPr>
          <w:p>
            <w:r>
              <w:rPr>
                <w:sz w:val="18"/>
              </w:rPr>
              <w:t>Multi-agent coordination</w:t>
            </w:r>
          </w:p>
        </w:tc>
        <w:tc>
          <w:tcPr>
            <w:tcW w:type="dxa" w:w="2160"/>
          </w:tcPr>
          <w:p>
            <w:r>
              <w:rPr>
                <w:sz w:val="18"/>
              </w:rPr>
              <w:t>Multiple agent types coexist but do not interact. No delegation, negotiation, or shared context.</w:t>
            </w:r>
          </w:p>
        </w:tc>
        <w:tc>
          <w:tcPr>
            <w:tcW w:type="dxa" w:w="2160"/>
          </w:tcPr>
          <w:p>
            <w:r>
              <w:rPr>
                <w:sz w:val="18"/>
              </w:rPr>
              <w:t>Large</w:t>
            </w:r>
          </w:p>
        </w:tc>
        <w:tc>
          <w:tcPr>
            <w:tcW w:type="dxa" w:w="2160"/>
          </w:tcPr>
          <w:p>
            <w:r>
              <w:rPr>
                <w:sz w:val="18"/>
              </w:rPr>
              <w:t>Coordination protocol with task delegation, shared context, and provenance-tracked inter-agent communication</w:t>
            </w:r>
          </w:p>
        </w:tc>
      </w:tr>
      <w:tr>
        <w:tc>
          <w:tcPr>
            <w:tcW w:type="dxa" w:w="2160"/>
          </w:tcPr>
          <w:p>
            <w:r>
              <w:rPr>
                <w:sz w:val="18"/>
              </w:rPr>
              <w:t>Validation &amp; monitoring</w:t>
            </w:r>
          </w:p>
        </w:tc>
        <w:tc>
          <w:tcPr>
            <w:tcW w:type="dxa" w:w="2160"/>
          </w:tcPr>
          <w:p>
            <w:r>
              <w:rPr>
                <w:sz w:val="18"/>
              </w:rPr>
              <w:t>Reliability badges, claim-level source attribution, hallucination detection, audit logging, structured error taxonomy, tester protocol.</w:t>
            </w:r>
          </w:p>
        </w:tc>
        <w:tc>
          <w:tcPr>
            <w:tcW w:type="dxa" w:w="2160"/>
          </w:tcPr>
          <w:p>
            <w:r>
              <w:rPr>
                <w:sz w:val="18"/>
              </w:rPr>
              <w:t>Strong baseline</w:t>
            </w:r>
          </w:p>
        </w:tc>
        <w:tc>
          <w:tcPr>
            <w:tcW w:type="dxa" w:w="2160"/>
          </w:tcPr>
          <w:p>
            <w:r>
              <w:rPr>
                <w:sz w:val="18"/>
              </w:rPr>
              <w:t>Extended to multi-agent chains; cross-agent hallucination detection; automated compliance checking</w:t>
            </w:r>
          </w:p>
        </w:tc>
      </w:tr>
    </w:tbl>
    <w:p>
      <w:r>
        <w:rPr>
          <w:b w:val="0"/>
          <w:i/>
          <w:sz w:val="20"/>
        </w:rPr>
        <w:t>This honest gap analysis demonstrates that TRANSPARENT is a genuine research project — not a repackaging of existing software. The trustworthiness layer (Challenge B) provides a validated foundation; the autonomy layer (Challenge A) is the core research contribution.</w:t>
      </w:r>
    </w:p>
    <w:p>
      <w:pPr>
        <w:pStyle w:val="Heading2"/>
      </w:pPr>
      <w:r>
        <w:t>1.3 Novelty — Beyond the State of the Art</w:t>
      </w:r>
    </w:p>
    <w:p>
      <w:r>
        <w:rPr>
          <w:b w:val="0"/>
          <w:i w:val="0"/>
          <w:sz w:val="22"/>
        </w:rPr>
        <w:t>The fundamental innovation of TRANSPARENT is the integration of autonomy and accountability in a single architecture. Current frameworks treat these as separate concerns: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Framework</w:t>
            </w:r>
          </w:p>
        </w:tc>
        <w:tc>
          <w:tcPr>
            <w:tcW w:type="dxa" w:w="2160"/>
          </w:tcPr>
          <w:p>
            <w:r>
              <w:rPr>
                <w:b/>
                <w:sz w:val="18"/>
              </w:rPr>
              <w:t>Autonomy</w:t>
            </w:r>
          </w:p>
        </w:tc>
        <w:tc>
          <w:tcPr>
            <w:tcW w:type="dxa" w:w="2160"/>
          </w:tcPr>
          <w:p>
            <w:r>
              <w:rPr>
                <w:b/>
                <w:sz w:val="18"/>
              </w:rPr>
              <w:t>Trustworthiness</w:t>
            </w:r>
          </w:p>
        </w:tc>
        <w:tc>
          <w:tcPr>
            <w:tcW w:type="dxa" w:w="2160"/>
          </w:tcPr>
          <w:p>
            <w:r>
              <w:rPr>
                <w:b/>
                <w:sz w:val="18"/>
              </w:rPr>
              <w:t>EU AI Act compliance</w:t>
            </w:r>
          </w:p>
        </w:tc>
      </w:tr>
      <w:tr>
        <w:tc>
          <w:tcPr>
            <w:tcW w:type="dxa" w:w="2160"/>
          </w:tcPr>
          <w:p>
            <w:r>
              <w:rPr>
                <w:sz w:val="18"/>
              </w:rPr>
              <w:t>LangChain / LangGraph</w:t>
            </w:r>
          </w:p>
        </w:tc>
        <w:tc>
          <w:tcPr>
            <w:tcW w:type="dxa" w:w="2160"/>
          </w:tcPr>
          <w:p>
            <w:r>
              <w:rPr>
                <w:sz w:val="18"/>
              </w:rPr>
              <w:t>Tool use, chains, agents</w:t>
            </w:r>
          </w:p>
        </w:tc>
        <w:tc>
          <w:tcPr>
            <w:tcW w:type="dxa" w:w="2160"/>
          </w:tcPr>
          <w:p>
            <w:r>
              <w:rPr>
                <w:sz w:val="18"/>
              </w:rPr>
              <w:t>None built-in</w:t>
            </w:r>
          </w:p>
        </w:tc>
        <w:tc>
          <w:tcPr>
            <w:tcW w:type="dxa" w:w="2160"/>
          </w:tcPr>
          <w:p>
            <w:r>
              <w:rPr>
                <w:sz w:val="18"/>
              </w:rPr>
              <w:t>None</w:t>
            </w:r>
          </w:p>
        </w:tc>
      </w:tr>
      <w:tr>
        <w:tc>
          <w:tcPr>
            <w:tcW w:type="dxa" w:w="2160"/>
          </w:tcPr>
          <w:p>
            <w:r>
              <w:rPr>
                <w:sz w:val="18"/>
              </w:rPr>
              <w:t>AutoGen (Microsoft)</w:t>
            </w:r>
          </w:p>
        </w:tc>
        <w:tc>
          <w:tcPr>
            <w:tcW w:type="dxa" w:w="2160"/>
          </w:tcPr>
          <w:p>
            <w:r>
              <w:rPr>
                <w:sz w:val="18"/>
              </w:rPr>
              <w:t>Multi-agent conversations</w:t>
            </w:r>
          </w:p>
        </w:tc>
        <w:tc>
          <w:tcPr>
            <w:tcW w:type="dxa" w:w="2160"/>
          </w:tcPr>
          <w:p>
            <w:r>
              <w:rPr>
                <w:sz w:val="18"/>
              </w:rPr>
              <w:t>None built-in</w:t>
            </w:r>
          </w:p>
        </w:tc>
        <w:tc>
          <w:tcPr>
            <w:tcW w:type="dxa" w:w="2160"/>
          </w:tcPr>
          <w:p>
            <w:r>
              <w:rPr>
                <w:sz w:val="18"/>
              </w:rPr>
              <w:t>None</w:t>
            </w:r>
          </w:p>
        </w:tc>
      </w:tr>
      <w:tr>
        <w:tc>
          <w:tcPr>
            <w:tcW w:type="dxa" w:w="2160"/>
          </w:tcPr>
          <w:p>
            <w:r>
              <w:rPr>
                <w:sz w:val="18"/>
              </w:rPr>
              <w:t>CrewAI</w:t>
            </w:r>
          </w:p>
        </w:tc>
        <w:tc>
          <w:tcPr>
            <w:tcW w:type="dxa" w:w="2160"/>
          </w:tcPr>
          <w:p>
            <w:r>
              <w:rPr>
                <w:sz w:val="18"/>
              </w:rPr>
              <w:t>Role-based agent teams</w:t>
            </w:r>
          </w:p>
        </w:tc>
        <w:tc>
          <w:tcPr>
            <w:tcW w:type="dxa" w:w="2160"/>
          </w:tcPr>
          <w:p>
            <w:r>
              <w:rPr>
                <w:sz w:val="18"/>
              </w:rPr>
              <w:t>None built-in</w:t>
            </w:r>
          </w:p>
        </w:tc>
        <w:tc>
          <w:tcPr>
            <w:tcW w:type="dxa" w:w="2160"/>
          </w:tcPr>
          <w:p>
            <w:r>
              <w:rPr>
                <w:sz w:val="18"/>
              </w:rPr>
              <w:t>None</w:t>
            </w:r>
          </w:p>
        </w:tc>
      </w:tr>
      <w:tr>
        <w:tc>
          <w:tcPr>
            <w:tcW w:type="dxa" w:w="2160"/>
          </w:tcPr>
          <w:p>
            <w:r>
              <w:rPr>
                <w:sz w:val="18"/>
              </w:rPr>
              <w:t>Semantic Kernel</w:t>
            </w:r>
          </w:p>
        </w:tc>
        <w:tc>
          <w:tcPr>
            <w:tcW w:type="dxa" w:w="2160"/>
          </w:tcPr>
          <w:p>
            <w:r>
              <w:rPr>
                <w:sz w:val="18"/>
              </w:rPr>
              <w:t>Planning, memory, plugins</w:t>
            </w:r>
          </w:p>
        </w:tc>
        <w:tc>
          <w:tcPr>
            <w:tcW w:type="dxa" w:w="2160"/>
          </w:tcPr>
          <w:p>
            <w:r>
              <w:rPr>
                <w:sz w:val="18"/>
              </w:rPr>
              <w:t>Minimal (filters)</w:t>
            </w:r>
          </w:p>
        </w:tc>
        <w:tc>
          <w:tcPr>
            <w:tcW w:type="dxa" w:w="2160"/>
          </w:tcPr>
          <w:p>
            <w:r>
              <w:rPr>
                <w:sz w:val="18"/>
              </w:rPr>
              <w:t>None</w:t>
            </w:r>
          </w:p>
        </w:tc>
      </w:tr>
      <w:tr>
        <w:tc>
          <w:tcPr>
            <w:tcW w:type="dxa" w:w="2160"/>
          </w:tcPr>
          <w:p>
            <w:r>
              <w:rPr>
                <w:sz w:val="18"/>
              </w:rPr>
              <w:t>TOMMI (current)</w:t>
            </w:r>
          </w:p>
        </w:tc>
        <w:tc>
          <w:tcPr>
            <w:tcW w:type="dxa" w:w="2160"/>
          </w:tcPr>
          <w:p>
            <w:r>
              <w:rPr>
                <w:sz w:val="18"/>
              </w:rPr>
              <w:t>Fixed pipelines, no planning</w:t>
            </w:r>
          </w:p>
        </w:tc>
        <w:tc>
          <w:tcPr>
            <w:tcW w:type="dxa" w:w="2160"/>
          </w:tcPr>
          <w:p>
            <w:r>
              <w:rPr>
                <w:sz w:val="18"/>
              </w:rPr>
              <w:t>Strong: graduated transparency, claim verification, audit logging</w:t>
            </w:r>
          </w:p>
        </w:tc>
        <w:tc>
          <w:tcPr>
            <w:tcW w:type="dxa" w:w="2160"/>
          </w:tcPr>
          <w:p>
            <w:r>
              <w:rPr>
                <w:sz w:val="18"/>
              </w:rPr>
              <w:t>Partial: logging, RoPA, Design Cards</w:t>
            </w:r>
          </w:p>
        </w:tc>
      </w:tr>
      <w:tr>
        <w:tc>
          <w:tcPr>
            <w:tcW w:type="dxa" w:w="2160"/>
          </w:tcPr>
          <w:p>
            <w:r>
              <w:rPr>
                <w:sz w:val="18"/>
              </w:rPr>
              <w:t>TRANSPARENT (target)</w:t>
            </w:r>
          </w:p>
        </w:tc>
        <w:tc>
          <w:tcPr>
            <w:tcW w:type="dxa" w:w="2160"/>
          </w:tcPr>
          <w:p>
            <w:r>
              <w:rPr>
                <w:sz w:val="18"/>
              </w:rPr>
              <w:t>Dynamic planning, persistent memory, multi-agent coordination</w:t>
            </w:r>
          </w:p>
        </w:tc>
        <w:tc>
          <w:tcPr>
            <w:tcW w:type="dxa" w:w="2160"/>
          </w:tcPr>
          <w:p>
            <w:r>
              <w:rPr>
                <w:sz w:val="18"/>
              </w:rPr>
              <w:t>Strong: extended to multi-agent chains</w:t>
            </w:r>
          </w:p>
        </w:tc>
        <w:tc>
          <w:tcPr>
            <w:tcW w:type="dxa" w:w="2160"/>
          </w:tcPr>
          <w:p>
            <w:r>
              <w:rPr>
                <w:sz w:val="18"/>
              </w:rPr>
              <w:t>Full: automated compliance toolkit</w:t>
            </w:r>
          </w:p>
        </w:tc>
      </w:tr>
    </w:tbl>
    <w:p>
      <w:r>
        <w:rPr>
          <w:b/>
          <w:i w:val="0"/>
          <w:sz w:val="20"/>
        </w:rPr>
        <w:t>No existing framework combines autonomous agent capabilities with built-in, claim-level trustworthiness verification. TRANSPARENT will be the first.</w:t>
      </w:r>
    </w:p>
    <w:p>
      <w:pPr>
        <w:pStyle w:val="Heading2"/>
      </w:pPr>
      <w:r>
        <w:t>1.4 Methodology</w:t>
      </w:r>
    </w:p>
    <w:p>
      <w:r>
        <w:rPr>
          <w:b/>
          <w:i w:val="0"/>
          <w:sz w:val="22"/>
        </w:rPr>
        <w:t>Phase 1 — Autonomy Layer (M1-M18)</w:t>
      </w:r>
    </w:p>
    <w:p>
      <w:r>
        <w:rPr>
          <w:b w:val="0"/>
          <w:i w:val="0"/>
          <w:sz w:val="20"/>
        </w:rPr>
        <w:t>This phase addresses the main research gaps (Challenge A):</w:t>
      </w:r>
    </w:p>
    <w:p>
      <w:pPr>
        <w:pStyle w:val="ListBullet"/>
      </w:pPr>
      <w:r>
        <w:rPr>
          <w:sz w:val="20"/>
        </w:rPr>
        <w:t>WP1 — Dynamic Orchestrator: Design and implement a planner that receives a user goal, analyses it, decomposes it into sub-tasks, and dispatches each sub-task to the appropriate agent/tool. The orchestrator monitors progress and replans if a step fails. Key research: goal decomposition heuristics, failure recovery strategies, computational cost of planning overhead.</w:t>
      </w:r>
    </w:p>
    <w:p>
      <w:pPr>
        <w:pStyle w:val="ListBullet"/>
      </w:pPr>
      <w:r>
        <w:rPr>
          <w:sz w:val="20"/>
        </w:rPr>
        <w:t>WP2 — Persistent Memory: Implement a memory architecture with three tiers: (a) working memory (current session), (b) episodic memory (past interactions, retrievable), and (c) semantic memory (accumulated knowledge, user preferences). Key research: memory consolidation strategies, privacy-preserving preference learning, forgetting mechanisms for GDPR compliance.</w:t>
      </w:r>
    </w:p>
    <w:p>
      <w:pPr>
        <w:pStyle w:val="ListBullet"/>
      </w:pPr>
      <w:r>
        <w:rPr>
          <w:sz w:val="20"/>
        </w:rPr>
        <w:t>WP3 — Multi-Agent Coordination: Define a coordination protocol where agents can: request help from other agents, share intermediate results with provenance metadata, and negotiate when their outputs conflict. Key research: provenance-preserving message passing, conflict resolution between agents, accountability in delegation chains.</w:t>
      </w:r>
    </w:p>
    <w:p>
      <w:r>
        <w:rPr>
          <w:b/>
          <w:i w:val="0"/>
          <w:sz w:val="22"/>
        </w:rPr>
        <w:t>Phase 2 — Trust Layer Extension (M6-M24)</w:t>
      </w:r>
    </w:p>
    <w:p>
      <w:r>
        <w:rPr>
          <w:b w:val="0"/>
          <w:i w:val="0"/>
          <w:sz w:val="20"/>
        </w:rPr>
        <w:t>This phase extends TOMMI's trustworthiness infrastructure to the new autonomous capabilities:</w:t>
      </w:r>
    </w:p>
    <w:p>
      <w:pPr>
        <w:pStyle w:val="ListBullet"/>
      </w:pPr>
      <w:r>
        <w:rPr>
          <w:sz w:val="20"/>
        </w:rPr>
        <w:t>WP4 — Multi-Step Verification: Extend claim-level verification to handle multi-step reasoning chains. When the orchestrator chains Agent A → Agent B → Agent C, the verification engine must track provenance across the full chain and detect error propagation.</w:t>
      </w:r>
    </w:p>
    <w:p>
      <w:pPr>
        <w:pStyle w:val="ListBullet"/>
      </w:pPr>
      <w:r>
        <w:rPr>
          <w:sz w:val="20"/>
        </w:rPr>
        <w:t>WP5 — Hallucination Detection at Scale: Adapt hallucination detection for autonomous agents that generate more complex, multi-source responses. Research on detection in generated SQL, in synthesised multi-document answers, and in agent-to-agent communications.</w:t>
      </w:r>
    </w:p>
    <w:p>
      <w:pPr>
        <w:pStyle w:val="ListBullet"/>
      </w:pPr>
      <w:r>
        <w:rPr>
          <w:sz w:val="20"/>
        </w:rPr>
        <w:t>WP6 — EU AI Act Compliance Toolkit: Package the compliance infrastructure into a standalone toolkit: automated audit logging with configurable granularity, risk classification wizard, Design Card generator, RoPA template engine, transparency notice generator. Target: any developer can add AI Act compliance to their agent in under a day.</w:t>
      </w:r>
    </w:p>
    <w:p>
      <w:r>
        <w:rPr>
          <w:b/>
          <w:i w:val="0"/>
          <w:sz w:val="22"/>
        </w:rPr>
        <w:t>Phase 3 — Validation &amp; Benchmarking (M18-M36)</w:t>
      </w:r>
    </w:p>
    <w:p>
      <w:r>
        <w:rPr>
          <w:b w:val="0"/>
          <w:i w:val="0"/>
          <w:sz w:val="20"/>
        </w:rPr>
        <w:t>Validation in three sectors to demonstrate cross-domain applicability:</w:t>
      </w:r>
    </w:p>
    <w:p>
      <w:pPr>
        <w:pStyle w:val="ListBullet"/>
      </w:pPr>
      <w:r>
        <w:rPr>
          <w:sz w:val="20"/>
        </w:rPr>
        <w:t>WP7 — Research Intelligence (UNINOVIS): The orchestrator coordinates metadata agents, RAG agents, and project agents to answer complex research questions like "Which UNINOVIS researchers work on topics related to this open Horizon Europe call?" — requiring multi-agent coordination.</w:t>
      </w:r>
    </w:p>
    <w:p>
      <w:pPr>
        <w:pStyle w:val="ListBullet"/>
      </w:pPr>
      <w:r>
        <w:rPr>
          <w:sz w:val="20"/>
        </w:rPr>
        <w:t>WP8 — Public Administration: AI agents for citizen information services in municipal contexts. Requires planning (decompose citizen query), tool use (regulation lookup, form retrieval, eligibility checking), and strict compliance.</w:t>
      </w:r>
    </w:p>
    <w:p>
      <w:pPr>
        <w:pStyle w:val="ListBullet"/>
      </w:pPr>
      <w:r>
        <w:rPr>
          <w:sz w:val="20"/>
        </w:rPr>
        <w:t>WP9 — Healthcare Information: AI agents for clinical literature retrieval and evidence synthesis. Requires high reliability (medical context), multi-source verification, and transparency about the evidence level of each claim.</w:t>
      </w:r>
    </w:p>
    <w:p>
      <w:pPr>
        <w:pStyle w:val="ListBullet"/>
      </w:pPr>
      <w:r>
        <w:rPr>
          <w:sz w:val="20"/>
        </w:rPr>
        <w:t>WP10 — Benchmarking: Formal comparison against LangChain, AutoGen, CrewAI on standardised tasks measuring both capability (task completion, planning quality) and trustworthiness (hallucination rate, source attribution accuracy, compliance overhead).</w:t>
      </w:r>
    </w:p>
    <w:p>
      <w:r>
        <w:br w:type="page"/>
      </w:r>
    </w:p>
    <w:p>
      <w:pPr>
        <w:pStyle w:val="Heading1"/>
      </w:pPr>
      <w:r>
        <w:t>2. Impact</w:t>
      </w:r>
    </w:p>
    <w:p>
      <w:pPr>
        <w:pStyle w:val="Heading2"/>
      </w:pPr>
      <w:r>
        <w:t>2.1 Expected Outcomes</w:t>
      </w:r>
    </w:p>
    <w:p>
      <w:r>
        <w:rPr>
          <w:b/>
          <w:i w:val="0"/>
          <w:sz w:val="22"/>
        </w:rPr>
        <w:t>Outcome 1: Significant improvements in autonomy, robustness and reliability of AI agents</w:t>
      </w:r>
    </w:p>
    <w:p>
      <w:pPr>
        <w:pStyle w:val="ListBullet"/>
      </w:pPr>
      <w:r>
        <w:rPr>
          <w:sz w:val="20"/>
        </w:rPr>
        <w:t>Dynamic planning and multi-agent coordination demonstrated in 3 real-world sectors</w:t>
      </w:r>
    </w:p>
    <w:p>
      <w:pPr>
        <w:pStyle w:val="ListBullet"/>
      </w:pPr>
      <w:r>
        <w:rPr>
          <w:sz w:val="20"/>
        </w:rPr>
        <w:t>Every response carries a quantitative reliability score backed by claim-level evidence — including multi-agent chains</w:t>
      </w:r>
    </w:p>
    <w:p>
      <w:pPr>
        <w:pStyle w:val="ListBullet"/>
      </w:pPr>
      <w:r>
        <w:rPr>
          <w:sz w:val="20"/>
        </w:rPr>
        <w:t>Robustness validated through structured testing across 8+ countries with standardised error taxonomy</w:t>
      </w:r>
    </w:p>
    <w:p>
      <w:r>
        <w:rPr>
          <w:b/>
          <w:i w:val="0"/>
          <w:sz w:val="22"/>
        </w:rPr>
        <w:t>Outcome 2: Innovative multi-agent frameworks with effective coordination</w:t>
      </w:r>
    </w:p>
    <w:p>
      <w:pPr>
        <w:pStyle w:val="ListBullet"/>
      </w:pPr>
      <w:r>
        <w:rPr>
          <w:sz w:val="20"/>
        </w:rPr>
        <w:t>Open coordination protocol with provenance-tracked inter-agent communication</w:t>
      </w:r>
    </w:p>
    <w:p>
      <w:pPr>
        <w:pStyle w:val="ListBullet"/>
      </w:pPr>
      <w:r>
        <w:rPr>
          <w:sz w:val="20"/>
        </w:rPr>
        <w:t>Each agent maintains its own audit trail; the orchestrator tracks the full accountability chain</w:t>
      </w:r>
    </w:p>
    <w:p>
      <w:pPr>
        <w:pStyle w:val="ListBullet"/>
      </w:pPr>
      <w:r>
        <w:rPr>
          <w:sz w:val="20"/>
        </w:rPr>
        <w:t>First multi-agent framework with built-in EU AI Act compliance</w:t>
      </w:r>
    </w:p>
    <w:p>
      <w:pPr>
        <w:pStyle w:val="Heading2"/>
      </w:pPr>
      <w:r>
        <w:t>2.2 Impact Pathways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Impact</w:t>
            </w:r>
          </w:p>
        </w:tc>
        <w:tc>
          <w:tcPr>
            <w:tcW w:type="dxa" w:w="2880"/>
          </w:tcPr>
          <w:p>
            <w:r>
              <w:rPr>
                <w:b/>
                <w:sz w:val="18"/>
              </w:rPr>
              <w:t>Pathway</w:t>
            </w:r>
          </w:p>
        </w:tc>
        <w:tc>
          <w:tcPr>
            <w:tcW w:type="dxa" w:w="2880"/>
          </w:tcPr>
          <w:p>
            <w:r>
              <w:rPr>
                <w:b/>
                <w:sz w:val="18"/>
              </w:rPr>
              <w:t>KPI</w:t>
            </w:r>
          </w:p>
        </w:tc>
      </w:tr>
      <w:tr>
        <w:tc>
          <w:tcPr>
            <w:tcW w:type="dxa" w:w="2880"/>
          </w:tcPr>
          <w:p>
            <w:r>
              <w:rPr>
                <w:sz w:val="18"/>
              </w:rPr>
              <w:t>Trustworthy AI adoption</w:t>
            </w:r>
          </w:p>
        </w:tc>
        <w:tc>
          <w:tcPr>
            <w:tcW w:type="dxa" w:w="2880"/>
          </w:tcPr>
          <w:p>
            <w:r>
              <w:rPr>
                <w:sz w:val="18"/>
              </w:rPr>
              <w:t>Open-source platform + compliance toolkit lowers barrier for deploying accountable AI agents</w:t>
            </w:r>
          </w:p>
        </w:tc>
        <w:tc>
          <w:tcPr>
            <w:tcW w:type="dxa" w:w="2880"/>
          </w:tcPr>
          <w:p>
            <w:r>
              <w:rPr>
                <w:sz w:val="18"/>
              </w:rPr>
              <w:t>50+ organisations piloting by M36</w:t>
            </w:r>
          </w:p>
        </w:tc>
      </w:tr>
      <w:tr>
        <w:tc>
          <w:tcPr>
            <w:tcW w:type="dxa" w:w="2880"/>
          </w:tcPr>
          <w:p>
            <w:r>
              <w:rPr>
                <w:sz w:val="18"/>
              </w:rPr>
              <w:t>European AI ecosystem</w:t>
            </w:r>
          </w:p>
        </w:tc>
        <w:tc>
          <w:tcPr>
            <w:tcW w:type="dxa" w:w="2880"/>
          </w:tcPr>
          <w:p>
            <w:r>
              <w:rPr>
                <w:sz w:val="18"/>
              </w:rPr>
              <w:t>Results shared via AI-on-Demand Platform; benchmarks published</w:t>
            </w:r>
          </w:p>
        </w:tc>
        <w:tc>
          <w:tcPr>
            <w:tcW w:type="dxa" w:w="2880"/>
          </w:tcPr>
          <w:p>
            <w:r>
              <w:rPr>
                <w:sz w:val="18"/>
              </w:rPr>
              <w:t>3 TEF validations</w:t>
            </w:r>
          </w:p>
        </w:tc>
      </w:tr>
      <w:tr>
        <w:tc>
          <w:tcPr>
            <w:tcW w:type="dxa" w:w="2880"/>
          </w:tcPr>
          <w:p>
            <w:r>
              <w:rPr>
                <w:sz w:val="18"/>
              </w:rPr>
              <w:t>Policy input</w:t>
            </w:r>
          </w:p>
        </w:tc>
        <w:tc>
          <w:tcPr>
            <w:tcW w:type="dxa" w:w="2880"/>
          </w:tcPr>
          <w:p>
            <w:r>
              <w:rPr>
                <w:sz w:val="18"/>
              </w:rPr>
              <w:t>Evidence-based feedback on AI Act implementation challenges from real multi-sector deployments</w:t>
            </w:r>
          </w:p>
        </w:tc>
        <w:tc>
          <w:tcPr>
            <w:tcW w:type="dxa" w:w="2880"/>
          </w:tcPr>
          <w:p>
            <w:r>
              <w:rPr>
                <w:sz w:val="18"/>
              </w:rPr>
              <w:t>2 policy briefs to EC</w:t>
            </w:r>
          </w:p>
        </w:tc>
      </w:tr>
      <w:tr>
        <w:tc>
          <w:tcPr>
            <w:tcW w:type="dxa" w:w="2880"/>
          </w:tcPr>
          <w:p>
            <w:r>
              <w:rPr>
                <w:sz w:val="18"/>
              </w:rPr>
              <w:t>Academic impact</w:t>
            </w:r>
          </w:p>
        </w:tc>
        <w:tc>
          <w:tcPr>
            <w:tcW w:type="dxa" w:w="2880"/>
          </w:tcPr>
          <w:p>
            <w:r>
              <w:rPr>
                <w:sz w:val="18"/>
              </w:rPr>
              <w:t>Novel research on planning+trust integration, multi-agent accountability</w:t>
            </w:r>
          </w:p>
        </w:tc>
        <w:tc>
          <w:tcPr>
            <w:tcW w:type="dxa" w:w="2880"/>
          </w:tcPr>
          <w:p>
            <w:r>
              <w:rPr>
                <w:sz w:val="18"/>
              </w:rPr>
              <w:t>15+ publications in top venues</w:t>
            </w:r>
          </w:p>
        </w:tc>
      </w:tr>
      <w:tr>
        <w:tc>
          <w:tcPr>
            <w:tcW w:type="dxa" w:w="2880"/>
          </w:tcPr>
          <w:p>
            <w:r>
              <w:rPr>
                <w:sz w:val="18"/>
              </w:rPr>
              <w:t>SME enablement</w:t>
            </w:r>
          </w:p>
        </w:tc>
        <w:tc>
          <w:tcPr>
            <w:tcW w:type="dxa" w:w="2880"/>
          </w:tcPr>
          <w:p>
            <w:r>
              <w:rPr>
                <w:sz w:val="18"/>
              </w:rPr>
              <w:t>Compliance toolkit makes AI Act adherence feasible for SMEs</w:t>
            </w:r>
          </w:p>
        </w:tc>
        <w:tc>
          <w:tcPr>
            <w:tcW w:type="dxa" w:w="2880"/>
          </w:tcPr>
          <w:p>
            <w:r>
              <w:rPr>
                <w:sz w:val="18"/>
              </w:rPr>
              <w:t>Adopted by 20+ SMEs</w:t>
            </w:r>
          </w:p>
        </w:tc>
      </w:tr>
      <w:tr>
        <w:tc>
          <w:tcPr>
            <w:tcW w:type="dxa" w:w="2880"/>
          </w:tcPr>
          <w:p>
            <w:r>
              <w:rPr>
                <w:sz w:val="18"/>
              </w:rPr>
              <w:t>Cross-sector replicability</w:t>
            </w:r>
          </w:p>
        </w:tc>
        <w:tc>
          <w:tcPr>
            <w:tcW w:type="dxa" w:w="2880"/>
          </w:tcPr>
          <w:p>
            <w:r>
              <w:rPr>
                <w:sz w:val="18"/>
              </w:rPr>
              <w:t>Validated in research, public admin, healthcare — with sector-specific guides</w:t>
            </w:r>
          </w:p>
        </w:tc>
        <w:tc>
          <w:tcPr>
            <w:tcW w:type="dxa" w:w="2880"/>
          </w:tcPr>
          <w:p>
            <w:r>
              <w:rPr>
                <w:sz w:val="18"/>
              </w:rPr>
              <w:t>3 deployment guides</w:t>
            </w:r>
          </w:p>
        </w:tc>
      </w:tr>
    </w:tbl>
    <w:p>
      <w:pPr>
        <w:pStyle w:val="Heading2"/>
      </w:pPr>
      <w:r>
        <w:t>2.3 Dissemination &amp; Exploitation</w:t>
      </w:r>
    </w:p>
    <w:p>
      <w:pPr>
        <w:pStyle w:val="ListBullet"/>
      </w:pPr>
      <w:r>
        <w:rPr>
          <w:sz w:val="20"/>
        </w:rPr>
        <w:t>Open source: Full platform under Apache 2.0 license</w:t>
      </w:r>
    </w:p>
    <w:p>
      <w:pPr>
        <w:pStyle w:val="ListBullet"/>
      </w:pPr>
      <w:r>
        <w:rPr>
          <w:sz w:val="20"/>
        </w:rPr>
        <w:t>AI-on-Demand Platform: Integration of tools and benchmark results</w:t>
      </w:r>
    </w:p>
    <w:p>
      <w:pPr>
        <w:pStyle w:val="ListBullet"/>
      </w:pPr>
      <w:r>
        <w:rPr>
          <w:sz w:val="20"/>
        </w:rPr>
        <w:t>Standards: Input to CEN-CENELEC AI standardisation on transparency and testing</w:t>
      </w:r>
    </w:p>
    <w:p>
      <w:pPr>
        <w:pStyle w:val="ListBullet"/>
      </w:pPr>
      <w:r>
        <w:rPr>
          <w:sz w:val="20"/>
        </w:rPr>
        <w:t>Training: Testing methodology and compliance toolkit documentation for developers</w:t>
      </w:r>
    </w:p>
    <w:p>
      <w:pPr>
        <w:pStyle w:val="ListBullet"/>
      </w:pPr>
      <w:r>
        <w:rPr>
          <w:sz w:val="20"/>
        </w:rPr>
        <w:t>Industry: Annual workshops with AI developers, deployers, and regulators</w:t>
      </w:r>
    </w:p>
    <w:p>
      <w:r>
        <w:br w:type="page"/>
      </w:r>
    </w:p>
    <w:p>
      <w:pPr>
        <w:pStyle w:val="Heading1"/>
      </w:pPr>
      <w:r>
        <w:t>3. Implementation</w:t>
      </w:r>
    </w:p>
    <w:p>
      <w:pPr>
        <w:pStyle w:val="Heading2"/>
      </w:pPr>
      <w:r>
        <w:t>3.1 Work Packages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WP</w:t>
            </w:r>
          </w:p>
        </w:tc>
        <w:tc>
          <w:tcPr>
            <w:tcW w:type="dxa" w:w="1728"/>
          </w:tcPr>
          <w:p>
            <w:r>
              <w:rPr>
                <w:b/>
                <w:sz w:val="18"/>
              </w:rPr>
              <w:t>Title</w:t>
            </w:r>
          </w:p>
        </w:tc>
        <w:tc>
          <w:tcPr>
            <w:tcW w:type="dxa" w:w="1728"/>
          </w:tcPr>
          <w:p>
            <w:r>
              <w:rPr>
                <w:b/>
                <w:sz w:val="18"/>
              </w:rPr>
              <w:t>Lead</w:t>
            </w:r>
          </w:p>
        </w:tc>
        <w:tc>
          <w:tcPr>
            <w:tcW w:type="dxa" w:w="1728"/>
          </w:tcPr>
          <w:p>
            <w:r>
              <w:rPr>
                <w:b/>
                <w:sz w:val="18"/>
              </w:rPr>
              <w:t>Months</w:t>
            </w:r>
          </w:p>
        </w:tc>
        <w:tc>
          <w:tcPr>
            <w:tcW w:type="dxa" w:w="1728"/>
          </w:tcPr>
          <w:p>
            <w:r>
              <w:rPr>
                <w:b/>
                <w:sz w:val="18"/>
              </w:rPr>
              <w:t>Budget (EUR)</w:t>
            </w:r>
          </w:p>
        </w:tc>
      </w:tr>
      <w:tr>
        <w:tc>
          <w:tcPr>
            <w:tcW w:type="dxa" w:w="1728"/>
          </w:tcPr>
          <w:p>
            <w:r>
              <w:rPr>
                <w:sz w:val="18"/>
              </w:rPr>
              <w:t>WP1</w:t>
            </w:r>
          </w:p>
        </w:tc>
        <w:tc>
          <w:tcPr>
            <w:tcW w:type="dxa" w:w="1728"/>
          </w:tcPr>
          <w:p>
            <w:r>
              <w:rPr>
                <w:sz w:val="18"/>
              </w:rPr>
              <w:t>Dynamic Orchestrator &amp; Planning</w:t>
            </w:r>
          </w:p>
        </w:tc>
        <w:tc>
          <w:tcPr>
            <w:tcW w:type="dxa" w:w="1728"/>
          </w:tcPr>
          <w:p>
            <w:r>
              <w:rPr>
                <w:sz w:val="18"/>
              </w:rPr>
              <w:t>AI Research Inst.</w:t>
            </w:r>
          </w:p>
        </w:tc>
        <w:tc>
          <w:tcPr>
            <w:tcW w:type="dxa" w:w="1728"/>
          </w:tcPr>
          <w:p>
            <w:r>
              <w:rPr>
                <w:sz w:val="18"/>
              </w:rPr>
              <w:t>1-18</w:t>
            </w:r>
          </w:p>
        </w:tc>
        <w:tc>
          <w:tcPr>
            <w:tcW w:type="dxa" w:w="1728"/>
          </w:tcPr>
          <w:p>
            <w:r>
              <w:rPr>
                <w:sz w:val="18"/>
              </w:rPr>
              <w:t>2,500,000</w:t>
            </w:r>
          </w:p>
        </w:tc>
      </w:tr>
      <w:tr>
        <w:tc>
          <w:tcPr>
            <w:tcW w:type="dxa" w:w="1728"/>
          </w:tcPr>
          <w:p>
            <w:r>
              <w:rPr>
                <w:sz w:val="18"/>
              </w:rPr>
              <w:t>WP2</w:t>
            </w:r>
          </w:p>
        </w:tc>
        <w:tc>
          <w:tcPr>
            <w:tcW w:type="dxa" w:w="1728"/>
          </w:tcPr>
          <w:p>
            <w:r>
              <w:rPr>
                <w:sz w:val="18"/>
              </w:rPr>
              <w:t>Persistent Memory Architecture</w:t>
            </w:r>
          </w:p>
        </w:tc>
        <w:tc>
          <w:tcPr>
            <w:tcW w:type="dxa" w:w="1728"/>
          </w:tcPr>
          <w:p>
            <w:r>
              <w:rPr>
                <w:sz w:val="18"/>
              </w:rPr>
              <w:t>USPN</w:t>
            </w:r>
          </w:p>
        </w:tc>
        <w:tc>
          <w:tcPr>
            <w:tcW w:type="dxa" w:w="1728"/>
          </w:tcPr>
          <w:p>
            <w:r>
              <w:rPr>
                <w:sz w:val="18"/>
              </w:rPr>
              <w:t>1-18</w:t>
            </w:r>
          </w:p>
        </w:tc>
        <w:tc>
          <w:tcPr>
            <w:tcW w:type="dxa" w:w="1728"/>
          </w:tcPr>
          <w:p>
            <w:r>
              <w:rPr>
                <w:sz w:val="18"/>
              </w:rPr>
              <w:t>1,800,000</w:t>
            </w:r>
          </w:p>
        </w:tc>
      </w:tr>
      <w:tr>
        <w:tc>
          <w:tcPr>
            <w:tcW w:type="dxa" w:w="1728"/>
          </w:tcPr>
          <w:p>
            <w:r>
              <w:rPr>
                <w:sz w:val="18"/>
              </w:rPr>
              <w:t>WP3</w:t>
            </w:r>
          </w:p>
        </w:tc>
        <w:tc>
          <w:tcPr>
            <w:tcW w:type="dxa" w:w="1728"/>
          </w:tcPr>
          <w:p>
            <w:r>
              <w:rPr>
                <w:sz w:val="18"/>
              </w:rPr>
              <w:t>Multi-Agent Coordination Protocol</w:t>
            </w:r>
          </w:p>
        </w:tc>
        <w:tc>
          <w:tcPr>
            <w:tcW w:type="dxa" w:w="1728"/>
          </w:tcPr>
          <w:p>
            <w:r>
              <w:rPr>
                <w:sz w:val="18"/>
              </w:rPr>
              <w:t>AI Research Inst.</w:t>
            </w:r>
          </w:p>
        </w:tc>
        <w:tc>
          <w:tcPr>
            <w:tcW w:type="dxa" w:w="1728"/>
          </w:tcPr>
          <w:p>
            <w:r>
              <w:rPr>
                <w:sz w:val="18"/>
              </w:rPr>
              <w:t>6-24</w:t>
            </w:r>
          </w:p>
        </w:tc>
        <w:tc>
          <w:tcPr>
            <w:tcW w:type="dxa" w:w="1728"/>
          </w:tcPr>
          <w:p>
            <w:r>
              <w:rPr>
                <w:sz w:val="18"/>
              </w:rPr>
              <w:t>2,000,000</w:t>
            </w:r>
          </w:p>
        </w:tc>
      </w:tr>
      <w:tr>
        <w:tc>
          <w:tcPr>
            <w:tcW w:type="dxa" w:w="1728"/>
          </w:tcPr>
          <w:p>
            <w:r>
              <w:rPr>
                <w:sz w:val="18"/>
              </w:rPr>
              <w:t>WP4</w:t>
            </w:r>
          </w:p>
        </w:tc>
        <w:tc>
          <w:tcPr>
            <w:tcW w:type="dxa" w:w="1728"/>
          </w:tcPr>
          <w:p>
            <w:r>
              <w:rPr>
                <w:sz w:val="18"/>
              </w:rPr>
              <w:t>Multi-Step Verification Engine</w:t>
            </w:r>
          </w:p>
        </w:tc>
        <w:tc>
          <w:tcPr>
            <w:tcW w:type="dxa" w:w="1728"/>
          </w:tcPr>
          <w:p>
            <w:r>
              <w:rPr>
                <w:sz w:val="18"/>
              </w:rPr>
              <w:t>UMA</w:t>
            </w:r>
          </w:p>
        </w:tc>
        <w:tc>
          <w:tcPr>
            <w:tcW w:type="dxa" w:w="1728"/>
          </w:tcPr>
          <w:p>
            <w:r>
              <w:rPr>
                <w:sz w:val="18"/>
              </w:rPr>
              <w:t>6-24</w:t>
            </w:r>
          </w:p>
        </w:tc>
        <w:tc>
          <w:tcPr>
            <w:tcW w:type="dxa" w:w="1728"/>
          </w:tcPr>
          <w:p>
            <w:r>
              <w:rPr>
                <w:sz w:val="18"/>
              </w:rPr>
              <w:t>1,600,000</w:t>
            </w:r>
          </w:p>
        </w:tc>
      </w:tr>
      <w:tr>
        <w:tc>
          <w:tcPr>
            <w:tcW w:type="dxa" w:w="1728"/>
          </w:tcPr>
          <w:p>
            <w:r>
              <w:rPr>
                <w:sz w:val="18"/>
              </w:rPr>
              <w:t>WP5</w:t>
            </w:r>
          </w:p>
        </w:tc>
        <w:tc>
          <w:tcPr>
            <w:tcW w:type="dxa" w:w="1728"/>
          </w:tcPr>
          <w:p>
            <w:r>
              <w:rPr>
                <w:sz w:val="18"/>
              </w:rPr>
              <w:t>Hallucination Detection at Scale</w:t>
            </w:r>
          </w:p>
        </w:tc>
        <w:tc>
          <w:tcPr>
            <w:tcW w:type="dxa" w:w="1728"/>
          </w:tcPr>
          <w:p>
            <w:r>
              <w:rPr>
                <w:sz w:val="18"/>
              </w:rPr>
              <w:t>THUAS</w:t>
            </w:r>
          </w:p>
        </w:tc>
        <w:tc>
          <w:tcPr>
            <w:tcW w:type="dxa" w:w="1728"/>
          </w:tcPr>
          <w:p>
            <w:r>
              <w:rPr>
                <w:sz w:val="18"/>
              </w:rPr>
              <w:t>6-24</w:t>
            </w:r>
          </w:p>
        </w:tc>
        <w:tc>
          <w:tcPr>
            <w:tcW w:type="dxa" w:w="1728"/>
          </w:tcPr>
          <w:p>
            <w:r>
              <w:rPr>
                <w:sz w:val="18"/>
              </w:rPr>
              <w:t>1,400,000</w:t>
            </w:r>
          </w:p>
        </w:tc>
      </w:tr>
      <w:tr>
        <w:tc>
          <w:tcPr>
            <w:tcW w:type="dxa" w:w="1728"/>
          </w:tcPr>
          <w:p>
            <w:r>
              <w:rPr>
                <w:sz w:val="18"/>
              </w:rPr>
              <w:t>WP6</w:t>
            </w:r>
          </w:p>
        </w:tc>
        <w:tc>
          <w:tcPr>
            <w:tcW w:type="dxa" w:w="1728"/>
          </w:tcPr>
          <w:p>
            <w:r>
              <w:rPr>
                <w:sz w:val="18"/>
              </w:rPr>
              <w:t>EU AI Act Compliance Toolkit</w:t>
            </w:r>
          </w:p>
        </w:tc>
        <w:tc>
          <w:tcPr>
            <w:tcW w:type="dxa" w:w="1728"/>
          </w:tcPr>
          <w:p>
            <w:r>
              <w:rPr>
                <w:sz w:val="18"/>
              </w:rPr>
              <w:t>Legal partner</w:t>
            </w:r>
          </w:p>
        </w:tc>
        <w:tc>
          <w:tcPr>
            <w:tcW w:type="dxa" w:w="1728"/>
          </w:tcPr>
          <w:p>
            <w:r>
              <w:rPr>
                <w:sz w:val="18"/>
              </w:rPr>
              <w:t>12-30</w:t>
            </w:r>
          </w:p>
        </w:tc>
        <w:tc>
          <w:tcPr>
            <w:tcW w:type="dxa" w:w="1728"/>
          </w:tcPr>
          <w:p>
            <w:r>
              <w:rPr>
                <w:sz w:val="18"/>
              </w:rPr>
              <w:t>1,100,000</w:t>
            </w:r>
          </w:p>
        </w:tc>
      </w:tr>
      <w:tr>
        <w:tc>
          <w:tcPr>
            <w:tcW w:type="dxa" w:w="1728"/>
          </w:tcPr>
          <w:p>
            <w:r>
              <w:rPr>
                <w:sz w:val="18"/>
              </w:rPr>
              <w:t>WP7</w:t>
            </w:r>
          </w:p>
        </w:tc>
        <w:tc>
          <w:tcPr>
            <w:tcW w:type="dxa" w:w="1728"/>
          </w:tcPr>
          <w:p>
            <w:r>
              <w:rPr>
                <w:sz w:val="18"/>
              </w:rPr>
              <w:t>Validation: Research Intelligence</w:t>
            </w:r>
          </w:p>
        </w:tc>
        <w:tc>
          <w:tcPr>
            <w:tcW w:type="dxa" w:w="1728"/>
          </w:tcPr>
          <w:p>
            <w:r>
              <w:rPr>
                <w:sz w:val="18"/>
              </w:rPr>
              <w:t>TAMK + UNINOVIS</w:t>
            </w:r>
          </w:p>
        </w:tc>
        <w:tc>
          <w:tcPr>
            <w:tcW w:type="dxa" w:w="1728"/>
          </w:tcPr>
          <w:p>
            <w:r>
              <w:rPr>
                <w:sz w:val="18"/>
              </w:rPr>
              <w:t>18-36</w:t>
            </w:r>
          </w:p>
        </w:tc>
        <w:tc>
          <w:tcPr>
            <w:tcW w:type="dxa" w:w="1728"/>
          </w:tcPr>
          <w:p>
            <w:r>
              <w:rPr>
                <w:sz w:val="18"/>
              </w:rPr>
              <w:t>1,400,000</w:t>
            </w:r>
          </w:p>
        </w:tc>
      </w:tr>
      <w:tr>
        <w:tc>
          <w:tcPr>
            <w:tcW w:type="dxa" w:w="1728"/>
          </w:tcPr>
          <w:p>
            <w:r>
              <w:rPr>
                <w:sz w:val="18"/>
              </w:rPr>
              <w:t>WP8</w:t>
            </w:r>
          </w:p>
        </w:tc>
        <w:tc>
          <w:tcPr>
            <w:tcW w:type="dxa" w:w="1728"/>
          </w:tcPr>
          <w:p>
            <w:r>
              <w:rPr>
                <w:sz w:val="18"/>
              </w:rPr>
              <w:t>Validation: Public Administration</w:t>
            </w:r>
          </w:p>
        </w:tc>
        <w:tc>
          <w:tcPr>
            <w:tcW w:type="dxa" w:w="1728"/>
          </w:tcPr>
          <w:p>
            <w:r>
              <w:rPr>
                <w:sz w:val="18"/>
              </w:rPr>
              <w:t>UDCLV</w:t>
            </w:r>
          </w:p>
        </w:tc>
        <w:tc>
          <w:tcPr>
            <w:tcW w:type="dxa" w:w="1728"/>
          </w:tcPr>
          <w:p>
            <w:r>
              <w:rPr>
                <w:sz w:val="18"/>
              </w:rPr>
              <w:t>18-36</w:t>
            </w:r>
          </w:p>
        </w:tc>
        <w:tc>
          <w:tcPr>
            <w:tcW w:type="dxa" w:w="1728"/>
          </w:tcPr>
          <w:p>
            <w:r>
              <w:rPr>
                <w:sz w:val="18"/>
              </w:rPr>
              <w:t>1,200,000</w:t>
            </w:r>
          </w:p>
        </w:tc>
      </w:tr>
      <w:tr>
        <w:tc>
          <w:tcPr>
            <w:tcW w:type="dxa" w:w="1728"/>
          </w:tcPr>
          <w:p>
            <w:r>
              <w:rPr>
                <w:sz w:val="18"/>
              </w:rPr>
              <w:t>WP9</w:t>
            </w:r>
          </w:p>
        </w:tc>
        <w:tc>
          <w:tcPr>
            <w:tcW w:type="dxa" w:w="1728"/>
          </w:tcPr>
          <w:p>
            <w:r>
              <w:rPr>
                <w:sz w:val="18"/>
              </w:rPr>
              <w:t>Validation: Healthcare Information</w:t>
            </w:r>
          </w:p>
        </w:tc>
        <w:tc>
          <w:tcPr>
            <w:tcW w:type="dxa" w:w="1728"/>
          </w:tcPr>
          <w:p>
            <w:r>
              <w:rPr>
                <w:sz w:val="18"/>
              </w:rPr>
              <w:t>THWS</w:t>
            </w:r>
          </w:p>
        </w:tc>
        <w:tc>
          <w:tcPr>
            <w:tcW w:type="dxa" w:w="1728"/>
          </w:tcPr>
          <w:p>
            <w:r>
              <w:rPr>
                <w:sz w:val="18"/>
              </w:rPr>
              <w:t>18-36</w:t>
            </w:r>
          </w:p>
        </w:tc>
        <w:tc>
          <w:tcPr>
            <w:tcW w:type="dxa" w:w="1728"/>
          </w:tcPr>
          <w:p>
            <w:r>
              <w:rPr>
                <w:sz w:val="18"/>
              </w:rPr>
              <w:t>1,200,000</w:t>
            </w:r>
          </w:p>
        </w:tc>
      </w:tr>
      <w:tr>
        <w:tc>
          <w:tcPr>
            <w:tcW w:type="dxa" w:w="1728"/>
          </w:tcPr>
          <w:p>
            <w:r>
              <w:rPr>
                <w:sz w:val="18"/>
              </w:rPr>
              <w:t>WP10</w:t>
            </w:r>
          </w:p>
        </w:tc>
        <w:tc>
          <w:tcPr>
            <w:tcW w:type="dxa" w:w="1728"/>
          </w:tcPr>
          <w:p>
            <w:r>
              <w:rPr>
                <w:sz w:val="18"/>
              </w:rPr>
              <w:t>Benchmarking vs. Existing Frameworks</w:t>
            </w:r>
          </w:p>
        </w:tc>
        <w:tc>
          <w:tcPr>
            <w:tcW w:type="dxa" w:w="1728"/>
          </w:tcPr>
          <w:p>
            <w:r>
              <w:rPr>
                <w:sz w:val="18"/>
              </w:rPr>
              <w:t>Industry partner</w:t>
            </w:r>
          </w:p>
        </w:tc>
        <w:tc>
          <w:tcPr>
            <w:tcW w:type="dxa" w:w="1728"/>
          </w:tcPr>
          <w:p>
            <w:r>
              <w:rPr>
                <w:sz w:val="18"/>
              </w:rPr>
              <w:t>24-36</w:t>
            </w:r>
          </w:p>
        </w:tc>
        <w:tc>
          <w:tcPr>
            <w:tcW w:type="dxa" w:w="1728"/>
          </w:tcPr>
          <w:p>
            <w:r>
              <w:rPr>
                <w:sz w:val="18"/>
              </w:rPr>
              <w:t>1,000,000</w:t>
            </w:r>
          </w:p>
        </w:tc>
      </w:tr>
      <w:tr>
        <w:tc>
          <w:tcPr>
            <w:tcW w:type="dxa" w:w="1728"/>
          </w:tcPr>
          <w:p>
            <w:r>
              <w:rPr>
                <w:sz w:val="18"/>
              </w:rPr>
              <w:t>WP11</w:t>
            </w:r>
          </w:p>
        </w:tc>
        <w:tc>
          <w:tcPr>
            <w:tcW w:type="dxa" w:w="1728"/>
          </w:tcPr>
          <w:p>
            <w:r>
              <w:rPr>
                <w:sz w:val="18"/>
              </w:rPr>
              <w:t>Dissemination, Exploitation &amp; Mgmt</w:t>
            </w:r>
          </w:p>
        </w:tc>
        <w:tc>
          <w:tcPr>
            <w:tcW w:type="dxa" w:w="1728"/>
          </w:tcPr>
          <w:p>
            <w:r>
              <w:rPr>
                <w:sz w:val="18"/>
              </w:rPr>
              <w:t>UMA</w:t>
            </w:r>
          </w:p>
        </w:tc>
        <w:tc>
          <w:tcPr>
            <w:tcW w:type="dxa" w:w="1728"/>
          </w:tcPr>
          <w:p>
            <w:r>
              <w:rPr>
                <w:sz w:val="18"/>
              </w:rPr>
              <w:t>1-36</w:t>
            </w:r>
          </w:p>
        </w:tc>
        <w:tc>
          <w:tcPr>
            <w:tcW w:type="dxa" w:w="1728"/>
          </w:tcPr>
          <w:p>
            <w:r>
              <w:rPr>
                <w:sz w:val="18"/>
              </w:rPr>
              <w:t>1,300,000</w:t>
            </w:r>
          </w:p>
        </w:tc>
      </w:tr>
      <w:tr>
        <w:tc>
          <w:tcPr>
            <w:tcW w:type="dxa" w:w="1728"/>
          </w:tcPr>
          <w:p>
            <w:r>
              <w:rPr>
                <w:sz w:val="18"/>
              </w:rPr>
            </w:r>
          </w:p>
        </w:tc>
        <w:tc>
          <w:tcPr>
            <w:tcW w:type="dxa" w:w="1728"/>
          </w:tcPr>
          <w:p>
            <w:r>
              <w:rPr>
                <w:sz w:val="18"/>
              </w:rPr>
              <w:t>TOTAL</w:t>
            </w:r>
          </w:p>
        </w:tc>
        <w:tc>
          <w:tcPr>
            <w:tcW w:type="dxa" w:w="1728"/>
          </w:tcPr>
          <w:p>
            <w:r>
              <w:rPr>
                <w:sz w:val="18"/>
              </w:rPr>
            </w:r>
          </w:p>
        </w:tc>
        <w:tc>
          <w:tcPr>
            <w:tcW w:type="dxa" w:w="1728"/>
          </w:tcPr>
          <w:p>
            <w:r>
              <w:rPr>
                <w:sz w:val="18"/>
              </w:rPr>
            </w:r>
          </w:p>
        </w:tc>
        <w:tc>
          <w:tcPr>
            <w:tcW w:type="dxa" w:w="1728"/>
          </w:tcPr>
          <w:p>
            <w:r>
              <w:rPr>
                <w:sz w:val="18"/>
              </w:rPr>
              <w:t>17,500,000</w:t>
            </w:r>
          </w:p>
        </w:tc>
      </w:tr>
    </w:tbl>
    <w:p>
      <w:r>
        <w:rPr>
          <w:b w:val="0"/>
          <w:i/>
          <w:sz w:val="18"/>
        </w:rPr>
        <w:t>Note: WP1-WP3 (autonomy layer) represent the core research and receive 36% of budget. WP4-WP6 (trust layer) receive 23%. WP7-WP10 (validation) receive 27%. This reflects the honest assessment that the autonomy capabilities are the main development effort.</w:t>
      </w:r>
    </w:p>
    <w:p>
      <w:pPr>
        <w:pStyle w:val="Heading2"/>
      </w:pPr>
      <w:r>
        <w:t>3.2 Consortium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Partner</w:t>
            </w:r>
          </w:p>
        </w:tc>
        <w:tc>
          <w:tcPr>
            <w:tcW w:type="dxa" w:w="2160"/>
          </w:tcPr>
          <w:p>
            <w:r>
              <w:rPr>
                <w:b/>
                <w:sz w:val="18"/>
              </w:rPr>
              <w:t>Country</w:t>
            </w:r>
          </w:p>
        </w:tc>
        <w:tc>
          <w:tcPr>
            <w:tcW w:type="dxa" w:w="2160"/>
          </w:tcPr>
          <w:p>
            <w:r>
              <w:rPr>
                <w:b/>
                <w:sz w:val="18"/>
              </w:rPr>
              <w:t>Role</w:t>
            </w:r>
          </w:p>
        </w:tc>
      </w:tr>
      <w:tr>
        <w:tc>
          <w:tcPr>
            <w:tcW w:type="dxa" w:w="2160"/>
          </w:tcPr>
          <w:p>
            <w:r>
              <w:rPr>
                <w:sz w:val="18"/>
              </w:rPr>
              <w:t>1</w:t>
            </w:r>
          </w:p>
        </w:tc>
        <w:tc>
          <w:tcPr>
            <w:tcW w:type="dxa" w:w="2160"/>
          </w:tcPr>
          <w:p>
            <w:r>
              <w:rPr>
                <w:sz w:val="18"/>
              </w:rPr>
              <w:t>Universidad de Malaga (UMA)</w:t>
            </w:r>
          </w:p>
        </w:tc>
        <w:tc>
          <w:tcPr>
            <w:tcW w:type="dxa" w:w="2160"/>
          </w:tcPr>
          <w:p>
            <w:r>
              <w:rPr>
                <w:sz w:val="18"/>
              </w:rPr>
              <w:t>ES</w:t>
            </w:r>
          </w:p>
        </w:tc>
        <w:tc>
          <w:tcPr>
            <w:tcW w:type="dxa" w:w="2160"/>
          </w:tcPr>
          <w:p>
            <w:r>
              <w:rPr>
                <w:sz w:val="18"/>
              </w:rPr>
              <w:t>Coordinator — TOMMI baseline, verification engine (WP4), management (WP11)</w:t>
            </w:r>
          </w:p>
        </w:tc>
      </w:tr>
      <w:tr>
        <w:tc>
          <w:tcPr>
            <w:tcW w:type="dxa" w:w="2160"/>
          </w:tcPr>
          <w:p>
            <w:r>
              <w:rPr>
                <w:sz w:val="18"/>
              </w:rPr>
              <w:t>2</w:t>
            </w:r>
          </w:p>
        </w:tc>
        <w:tc>
          <w:tcPr>
            <w:tcW w:type="dxa" w:w="2160"/>
          </w:tcPr>
          <w:p>
            <w:r>
              <w:rPr>
                <w:sz w:val="18"/>
              </w:rPr>
              <w:t>Tampere Univ. of Applied Sciences (TAMK)</w:t>
            </w:r>
          </w:p>
        </w:tc>
        <w:tc>
          <w:tcPr>
            <w:tcW w:type="dxa" w:w="2160"/>
          </w:tcPr>
          <w:p>
            <w:r>
              <w:rPr>
                <w:sz w:val="18"/>
              </w:rPr>
              <w:t>FI</w:t>
            </w:r>
          </w:p>
        </w:tc>
        <w:tc>
          <w:tcPr>
            <w:tcW w:type="dxa" w:w="2160"/>
          </w:tcPr>
          <w:p>
            <w:r>
              <w:rPr>
                <w:sz w:val="18"/>
              </w:rPr>
              <w:t>Applied AI, research intelligence validation (WP7)</w:t>
            </w:r>
          </w:p>
        </w:tc>
      </w:tr>
      <w:tr>
        <w:tc>
          <w:tcPr>
            <w:tcW w:type="dxa" w:w="2160"/>
          </w:tcPr>
          <w:p>
            <w:r>
              <w:rPr>
                <w:sz w:val="18"/>
              </w:rPr>
              <w:t>3</w:t>
            </w:r>
          </w:p>
        </w:tc>
        <w:tc>
          <w:tcPr>
            <w:tcW w:type="dxa" w:w="2160"/>
          </w:tcPr>
          <w:p>
            <w:r>
              <w:rPr>
                <w:sz w:val="18"/>
              </w:rPr>
              <w:t>The Hague Univ. of Applied Sciences (THUAS)</w:t>
            </w:r>
          </w:p>
        </w:tc>
        <w:tc>
          <w:tcPr>
            <w:tcW w:type="dxa" w:w="2160"/>
          </w:tcPr>
          <w:p>
            <w:r>
              <w:rPr>
                <w:sz w:val="18"/>
              </w:rPr>
              <w:t>NL</w:t>
            </w:r>
          </w:p>
        </w:tc>
        <w:tc>
          <w:tcPr>
            <w:tcW w:type="dxa" w:w="2160"/>
          </w:tcPr>
          <w:p>
            <w:r>
              <w:rPr>
                <w:sz w:val="18"/>
              </w:rPr>
              <w:t>Responsible AI hub, hallucination detection (WP5)</w:t>
            </w:r>
          </w:p>
        </w:tc>
      </w:tr>
      <w:tr>
        <w:tc>
          <w:tcPr>
            <w:tcW w:type="dxa" w:w="2160"/>
          </w:tcPr>
          <w:p>
            <w:r>
              <w:rPr>
                <w:sz w:val="18"/>
              </w:rPr>
              <w:t>4</w:t>
            </w:r>
          </w:p>
        </w:tc>
        <w:tc>
          <w:tcPr>
            <w:tcW w:type="dxa" w:w="2160"/>
          </w:tcPr>
          <w:p>
            <w:r>
              <w:rPr>
                <w:sz w:val="18"/>
              </w:rPr>
              <w:t>TH Wurzburg-Schweinfurt (THWS)</w:t>
            </w:r>
          </w:p>
        </w:tc>
        <w:tc>
          <w:tcPr>
            <w:tcW w:type="dxa" w:w="2160"/>
          </w:tcPr>
          <w:p>
            <w:r>
              <w:rPr>
                <w:sz w:val="18"/>
              </w:rPr>
              <w:t>DE</w:t>
            </w:r>
          </w:p>
        </w:tc>
        <w:tc>
          <w:tcPr>
            <w:tcW w:type="dxa" w:w="2160"/>
          </w:tcPr>
          <w:p>
            <w:r>
              <w:rPr>
                <w:sz w:val="18"/>
              </w:rPr>
              <w:t>Robotics &amp; AI, healthcare validation (WP9)</w:t>
            </w:r>
          </w:p>
        </w:tc>
      </w:tr>
      <w:tr>
        <w:tc>
          <w:tcPr>
            <w:tcW w:type="dxa" w:w="2160"/>
          </w:tcPr>
          <w:p>
            <w:r>
              <w:rPr>
                <w:sz w:val="18"/>
              </w:rPr>
              <w:t>5</w:t>
            </w:r>
          </w:p>
        </w:tc>
        <w:tc>
          <w:tcPr>
            <w:tcW w:type="dxa" w:w="2160"/>
          </w:tcPr>
          <w:p>
            <w:r>
              <w:rPr>
                <w:sz w:val="18"/>
              </w:rPr>
              <w:t>Univ. Sorbonne Paris Nord (USPN)</w:t>
            </w:r>
          </w:p>
        </w:tc>
        <w:tc>
          <w:tcPr>
            <w:tcW w:type="dxa" w:w="2160"/>
          </w:tcPr>
          <w:p>
            <w:r>
              <w:rPr>
                <w:sz w:val="18"/>
              </w:rPr>
              <w:t>FR</w:t>
            </w:r>
          </w:p>
        </w:tc>
        <w:tc>
          <w:tcPr>
            <w:tcW w:type="dxa" w:w="2160"/>
          </w:tcPr>
          <w:p>
            <w:r>
              <w:rPr>
                <w:sz w:val="18"/>
              </w:rPr>
              <w:t>NLP, multilingual agents, persistent memory (WP2)</w:t>
            </w:r>
          </w:p>
        </w:tc>
      </w:tr>
      <w:tr>
        <w:tc>
          <w:tcPr>
            <w:tcW w:type="dxa" w:w="2160"/>
          </w:tcPr>
          <w:p>
            <w:r>
              <w:rPr>
                <w:sz w:val="18"/>
              </w:rPr>
              <w:t>6</w:t>
            </w:r>
          </w:p>
        </w:tc>
        <w:tc>
          <w:tcPr>
            <w:tcW w:type="dxa" w:w="2160"/>
          </w:tcPr>
          <w:p>
            <w:r>
              <w:rPr>
                <w:sz w:val="18"/>
              </w:rPr>
              <w:t>Univ. of Campania "L. Vanvitelli" (UDCLV)</w:t>
            </w:r>
          </w:p>
        </w:tc>
        <w:tc>
          <w:tcPr>
            <w:tcW w:type="dxa" w:w="2160"/>
          </w:tcPr>
          <w:p>
            <w:r>
              <w:rPr>
                <w:sz w:val="18"/>
              </w:rPr>
              <w:t>IT</w:t>
            </w:r>
          </w:p>
        </w:tc>
        <w:tc>
          <w:tcPr>
            <w:tcW w:type="dxa" w:w="2160"/>
          </w:tcPr>
          <w:p>
            <w:r>
              <w:rPr>
                <w:sz w:val="18"/>
              </w:rPr>
              <w:t>Data science, public admin validation (WP8)</w:t>
            </w:r>
          </w:p>
        </w:tc>
      </w:tr>
      <w:tr>
        <w:tc>
          <w:tcPr>
            <w:tcW w:type="dxa" w:w="2160"/>
          </w:tcPr>
          <w:p>
            <w:r>
              <w:rPr>
                <w:sz w:val="18"/>
              </w:rPr>
              <w:t>7</w:t>
            </w:r>
          </w:p>
        </w:tc>
        <w:tc>
          <w:tcPr>
            <w:tcW w:type="dxa" w:w="2160"/>
          </w:tcPr>
          <w:p>
            <w:r>
              <w:rPr>
                <w:sz w:val="18"/>
              </w:rPr>
              <w:t>AI Research Institute (TBD — e.g. DFKI, INRIA)</w:t>
            </w:r>
          </w:p>
        </w:tc>
        <w:tc>
          <w:tcPr>
            <w:tcW w:type="dxa" w:w="2160"/>
          </w:tcPr>
          <w:p>
            <w:r>
              <w:rPr>
                <w:sz w:val="18"/>
              </w:rPr>
              <w:t>DE/FR</w:t>
            </w:r>
          </w:p>
        </w:tc>
        <w:tc>
          <w:tcPr>
            <w:tcW w:type="dxa" w:w="2160"/>
          </w:tcPr>
          <w:p>
            <w:r>
              <w:rPr>
                <w:sz w:val="18"/>
              </w:rPr>
              <w:t>Core research: orchestrator, planning, multi-agent (WP1, WP3)</w:t>
            </w:r>
          </w:p>
        </w:tc>
      </w:tr>
      <w:tr>
        <w:tc>
          <w:tcPr>
            <w:tcW w:type="dxa" w:w="2160"/>
          </w:tcPr>
          <w:p>
            <w:r>
              <w:rPr>
                <w:sz w:val="18"/>
              </w:rPr>
              <w:t>8</w:t>
            </w:r>
          </w:p>
        </w:tc>
        <w:tc>
          <w:tcPr>
            <w:tcW w:type="dxa" w:w="2160"/>
          </w:tcPr>
          <w:p>
            <w:r>
              <w:rPr>
                <w:sz w:val="18"/>
              </w:rPr>
              <w:t>Industry partner — AI/LLM (TBD)</w:t>
            </w:r>
          </w:p>
        </w:tc>
        <w:tc>
          <w:tcPr>
            <w:tcW w:type="dxa" w:w="2160"/>
          </w:tcPr>
          <w:p>
            <w:r>
              <w:rPr>
                <w:sz w:val="18"/>
              </w:rPr>
              <w:t>EU</w:t>
            </w:r>
          </w:p>
        </w:tc>
        <w:tc>
          <w:tcPr>
            <w:tcW w:type="dxa" w:w="2160"/>
          </w:tcPr>
          <w:p>
            <w:r>
              <w:rPr>
                <w:sz w:val="18"/>
              </w:rPr>
              <w:t>Scalability, benchmarking (WP10)</w:t>
            </w:r>
          </w:p>
        </w:tc>
      </w:tr>
      <w:tr>
        <w:tc>
          <w:tcPr>
            <w:tcW w:type="dxa" w:w="2160"/>
          </w:tcPr>
          <w:p>
            <w:r>
              <w:rPr>
                <w:sz w:val="18"/>
              </w:rPr>
              <w:t>9</w:t>
            </w:r>
          </w:p>
        </w:tc>
        <w:tc>
          <w:tcPr>
            <w:tcW w:type="dxa" w:w="2160"/>
          </w:tcPr>
          <w:p>
            <w:r>
              <w:rPr>
                <w:sz w:val="18"/>
              </w:rPr>
              <w:t>Legal/Ethics university (TBD)</w:t>
            </w:r>
          </w:p>
        </w:tc>
        <w:tc>
          <w:tcPr>
            <w:tcW w:type="dxa" w:w="2160"/>
          </w:tcPr>
          <w:p>
            <w:r>
              <w:rPr>
                <w:sz w:val="18"/>
              </w:rPr>
              <w:t>NL/IT</w:t>
            </w:r>
          </w:p>
        </w:tc>
        <w:tc>
          <w:tcPr>
            <w:tcW w:type="dxa" w:w="2160"/>
          </w:tcPr>
          <w:p>
            <w:r>
              <w:rPr>
                <w:sz w:val="18"/>
              </w:rPr>
              <w:t>AI Act compliance toolkit (WP6)</w:t>
            </w:r>
          </w:p>
        </w:tc>
      </w:tr>
      <w:tr>
        <w:tc>
          <w:tcPr>
            <w:tcW w:type="dxa" w:w="2160"/>
          </w:tcPr>
          <w:p>
            <w:r>
              <w:rPr>
                <w:sz w:val="18"/>
              </w:rPr>
              <w:t>10</w:t>
            </w:r>
          </w:p>
        </w:tc>
        <w:tc>
          <w:tcPr>
            <w:tcW w:type="dxa" w:w="2160"/>
          </w:tcPr>
          <w:p>
            <w:r>
              <w:rPr>
                <w:sz w:val="18"/>
              </w:rPr>
              <w:t>SME — AI developer tools (TBD)</w:t>
            </w:r>
          </w:p>
        </w:tc>
        <w:tc>
          <w:tcPr>
            <w:tcW w:type="dxa" w:w="2160"/>
          </w:tcPr>
          <w:p>
            <w:r>
              <w:rPr>
                <w:sz w:val="18"/>
              </w:rPr>
              <w:t>EU</w:t>
            </w:r>
          </w:p>
        </w:tc>
        <w:tc>
          <w:tcPr>
            <w:tcW w:type="dxa" w:w="2160"/>
          </w:tcPr>
          <w:p>
            <w:r>
              <w:rPr>
                <w:sz w:val="18"/>
              </w:rPr>
              <w:t>Exploitation, commercialisation pathway</w:t>
            </w:r>
          </w:p>
        </w:tc>
      </w:tr>
    </w:tbl>
    <w:p>
      <w:r>
        <w:rPr>
          <w:b w:val="0"/>
          <w:i/>
          <w:sz w:val="18"/>
        </w:rPr>
        <w:t>Critical note on consortium design: The AI Research Institute (Partner 7) leads the core autonomy research (WP1, WP3). UMA leads the trust/verification research (WP4) and coordination (WP11). This reflects the honest assessment that the planning and multi-agent capabilities require frontier AI research expertise beyond TOMMI's current scope.</w:t>
      </w:r>
    </w:p>
    <w:p>
      <w:pPr>
        <w:pStyle w:val="Heading2"/>
      </w:pPr>
      <w:r>
        <w:t>3.3 Key Milestones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MS</w:t>
            </w:r>
          </w:p>
        </w:tc>
        <w:tc>
          <w:tcPr>
            <w:tcW w:type="dxa" w:w="2160"/>
          </w:tcPr>
          <w:p>
            <w:r>
              <w:rPr>
                <w:b/>
                <w:sz w:val="18"/>
              </w:rPr>
              <w:t>Title</w:t>
            </w:r>
          </w:p>
        </w:tc>
        <w:tc>
          <w:tcPr>
            <w:tcW w:type="dxa" w:w="2160"/>
          </w:tcPr>
          <w:p>
            <w:r>
              <w:rPr>
                <w:b/>
                <w:sz w:val="18"/>
              </w:rPr>
              <w:t>Month</w:t>
            </w:r>
          </w:p>
        </w:tc>
        <w:tc>
          <w:tcPr>
            <w:tcW w:type="dxa" w:w="2160"/>
          </w:tcPr>
          <w:p>
            <w:r>
              <w:rPr>
                <w:b/>
                <w:sz w:val="18"/>
              </w:rPr>
              <w:t>Verification</w:t>
            </w:r>
          </w:p>
        </w:tc>
      </w:tr>
      <w:tr>
        <w:tc>
          <w:tcPr>
            <w:tcW w:type="dxa" w:w="2160"/>
          </w:tcPr>
          <w:p>
            <w:r>
              <w:rPr>
                <w:sz w:val="18"/>
              </w:rPr>
              <w:t>MS1</w:t>
            </w:r>
          </w:p>
        </w:tc>
        <w:tc>
          <w:tcPr>
            <w:tcW w:type="dxa" w:w="2160"/>
          </w:tcPr>
          <w:p>
            <w:r>
              <w:rPr>
                <w:sz w:val="18"/>
              </w:rPr>
              <w:t>Orchestrator architecture design</w:t>
            </w:r>
          </w:p>
        </w:tc>
        <w:tc>
          <w:tcPr>
            <w:tcW w:type="dxa" w:w="2160"/>
          </w:tcPr>
          <w:p>
            <w:r>
              <w:rPr>
                <w:sz w:val="18"/>
              </w:rPr>
              <w:t>M6</w:t>
            </w:r>
          </w:p>
        </w:tc>
        <w:tc>
          <w:tcPr>
            <w:tcW w:type="dxa" w:w="2160"/>
          </w:tcPr>
          <w:p>
            <w:r>
              <w:rPr>
                <w:sz w:val="18"/>
              </w:rPr>
              <w:t>Design reviewed by advisory board; can decompose 5 reference tasks</w:t>
            </w:r>
          </w:p>
        </w:tc>
      </w:tr>
      <w:tr>
        <w:tc>
          <w:tcPr>
            <w:tcW w:type="dxa" w:w="2160"/>
          </w:tcPr>
          <w:p>
            <w:r>
              <w:rPr>
                <w:sz w:val="18"/>
              </w:rPr>
              <w:t>MS2</w:t>
            </w:r>
          </w:p>
        </w:tc>
        <w:tc>
          <w:tcPr>
            <w:tcW w:type="dxa" w:w="2160"/>
          </w:tcPr>
          <w:p>
            <w:r>
              <w:rPr>
                <w:sz w:val="18"/>
              </w:rPr>
              <w:t>Memory architecture prototype</w:t>
            </w:r>
          </w:p>
        </w:tc>
        <w:tc>
          <w:tcPr>
            <w:tcW w:type="dxa" w:w="2160"/>
          </w:tcPr>
          <w:p>
            <w:r>
              <w:rPr>
                <w:sz w:val="18"/>
              </w:rPr>
              <w:t>M12</w:t>
            </w:r>
          </w:p>
        </w:tc>
        <w:tc>
          <w:tcPr>
            <w:tcW w:type="dxa" w:w="2160"/>
          </w:tcPr>
          <w:p>
            <w:r>
              <w:rPr>
                <w:sz w:val="18"/>
              </w:rPr>
              <w:t>Cross-session recall demonstrated on test scenarios</w:t>
            </w:r>
          </w:p>
        </w:tc>
      </w:tr>
      <w:tr>
        <w:tc>
          <w:tcPr>
            <w:tcW w:type="dxa" w:w="2160"/>
          </w:tcPr>
          <w:p>
            <w:r>
              <w:rPr>
                <w:sz w:val="18"/>
              </w:rPr>
              <w:t>MS3</w:t>
            </w:r>
          </w:p>
        </w:tc>
        <w:tc>
          <w:tcPr>
            <w:tcW w:type="dxa" w:w="2160"/>
          </w:tcPr>
          <w:p>
            <w:r>
              <w:rPr>
                <w:sz w:val="18"/>
              </w:rPr>
              <w:t>Multi-agent protocol v1.0</w:t>
            </w:r>
          </w:p>
        </w:tc>
        <w:tc>
          <w:tcPr>
            <w:tcW w:type="dxa" w:w="2160"/>
          </w:tcPr>
          <w:p>
            <w:r>
              <w:rPr>
                <w:sz w:val="18"/>
              </w:rPr>
              <w:t>M15</w:t>
            </w:r>
          </w:p>
        </w:tc>
        <w:tc>
          <w:tcPr>
            <w:tcW w:type="dxa" w:w="2160"/>
          </w:tcPr>
          <w:p>
            <w:r>
              <w:rPr>
                <w:sz w:val="18"/>
              </w:rPr>
              <w:t>Two agents coordinating on a joint task with provenance tracking</w:t>
            </w:r>
          </w:p>
        </w:tc>
      </w:tr>
      <w:tr>
        <w:tc>
          <w:tcPr>
            <w:tcW w:type="dxa" w:w="2160"/>
          </w:tcPr>
          <w:p>
            <w:r>
              <w:rPr>
                <w:sz w:val="18"/>
              </w:rPr>
              <w:t>MS4</w:t>
            </w:r>
          </w:p>
        </w:tc>
        <w:tc>
          <w:tcPr>
            <w:tcW w:type="dxa" w:w="2160"/>
          </w:tcPr>
          <w:p>
            <w:r>
              <w:rPr>
                <w:sz w:val="18"/>
              </w:rPr>
              <w:t>Multi-step verification engine</w:t>
            </w:r>
          </w:p>
        </w:tc>
        <w:tc>
          <w:tcPr>
            <w:tcW w:type="dxa" w:w="2160"/>
          </w:tcPr>
          <w:p>
            <w:r>
              <w:rPr>
                <w:sz w:val="18"/>
              </w:rPr>
              <w:t>M18</w:t>
            </w:r>
          </w:p>
        </w:tc>
        <w:tc>
          <w:tcPr>
            <w:tcW w:type="dxa" w:w="2160"/>
          </w:tcPr>
          <w:p>
            <w:r>
              <w:rPr>
                <w:sz w:val="18"/>
              </w:rPr>
              <w:t>Verification of 3-step agent chains with error propagation detection</w:t>
            </w:r>
          </w:p>
        </w:tc>
      </w:tr>
      <w:tr>
        <w:tc>
          <w:tcPr>
            <w:tcW w:type="dxa" w:w="2160"/>
          </w:tcPr>
          <w:p>
            <w:r>
              <w:rPr>
                <w:sz w:val="18"/>
              </w:rPr>
              <w:t>MS5</w:t>
            </w:r>
          </w:p>
        </w:tc>
        <w:tc>
          <w:tcPr>
            <w:tcW w:type="dxa" w:w="2160"/>
          </w:tcPr>
          <w:p>
            <w:r>
              <w:rPr>
                <w:sz w:val="18"/>
              </w:rPr>
              <w:t>AI Act compliance toolkit beta</w:t>
            </w:r>
          </w:p>
        </w:tc>
        <w:tc>
          <w:tcPr>
            <w:tcW w:type="dxa" w:w="2160"/>
          </w:tcPr>
          <w:p>
            <w:r>
              <w:rPr>
                <w:sz w:val="18"/>
              </w:rPr>
              <w:t>M24</w:t>
            </w:r>
          </w:p>
        </w:tc>
        <w:tc>
          <w:tcPr>
            <w:tcW w:type="dxa" w:w="2160"/>
          </w:tcPr>
          <w:p>
            <w:r>
              <w:rPr>
                <w:sz w:val="18"/>
              </w:rPr>
              <w:t>Tested with 10 external developers; usability evaluation</w:t>
            </w:r>
          </w:p>
        </w:tc>
      </w:tr>
      <w:tr>
        <w:tc>
          <w:tcPr>
            <w:tcW w:type="dxa" w:w="2160"/>
          </w:tcPr>
          <w:p>
            <w:r>
              <w:rPr>
                <w:sz w:val="18"/>
              </w:rPr>
              <w:t>MS6</w:t>
            </w:r>
          </w:p>
        </w:tc>
        <w:tc>
          <w:tcPr>
            <w:tcW w:type="dxa" w:w="2160"/>
          </w:tcPr>
          <w:p>
            <w:r>
              <w:rPr>
                <w:sz w:val="18"/>
              </w:rPr>
              <w:t>Cross-sector validation complete</w:t>
            </w:r>
          </w:p>
        </w:tc>
        <w:tc>
          <w:tcPr>
            <w:tcW w:type="dxa" w:w="2160"/>
          </w:tcPr>
          <w:p>
            <w:r>
              <w:rPr>
                <w:sz w:val="18"/>
              </w:rPr>
              <w:t>M30</w:t>
            </w:r>
          </w:p>
        </w:tc>
        <w:tc>
          <w:tcPr>
            <w:tcW w:type="dxa" w:w="2160"/>
          </w:tcPr>
          <w:p>
            <w:r>
              <w:rPr>
                <w:sz w:val="18"/>
              </w:rPr>
              <w:t>Validation reports for 3 sectors with quantitative KPIs</w:t>
            </w:r>
          </w:p>
        </w:tc>
      </w:tr>
      <w:tr>
        <w:tc>
          <w:tcPr>
            <w:tcW w:type="dxa" w:w="2160"/>
          </w:tcPr>
          <w:p>
            <w:r>
              <w:rPr>
                <w:sz w:val="18"/>
              </w:rPr>
              <w:t>MS7</w:t>
            </w:r>
          </w:p>
        </w:tc>
        <w:tc>
          <w:tcPr>
            <w:tcW w:type="dxa" w:w="2160"/>
          </w:tcPr>
          <w:p>
            <w:r>
              <w:rPr>
                <w:sz w:val="18"/>
              </w:rPr>
              <w:t>Benchmark vs. LangChain/AutoGen/CrewAI</w:t>
            </w:r>
          </w:p>
        </w:tc>
        <w:tc>
          <w:tcPr>
            <w:tcW w:type="dxa" w:w="2160"/>
          </w:tcPr>
          <w:p>
            <w:r>
              <w:rPr>
                <w:sz w:val="18"/>
              </w:rPr>
              <w:t>M33</w:t>
            </w:r>
          </w:p>
        </w:tc>
        <w:tc>
          <w:tcPr>
            <w:tcW w:type="dxa" w:w="2160"/>
          </w:tcPr>
          <w:p>
            <w:r>
              <w:rPr>
                <w:sz w:val="18"/>
              </w:rPr>
              <w:t>Published benchmark on capability + trustworthiness metrics</w:t>
            </w:r>
          </w:p>
        </w:tc>
      </w:tr>
      <w:tr>
        <w:tc>
          <w:tcPr>
            <w:tcW w:type="dxa" w:w="2160"/>
          </w:tcPr>
          <w:p>
            <w:r>
              <w:rPr>
                <w:sz w:val="18"/>
              </w:rPr>
              <w:t>MS8</w:t>
            </w:r>
          </w:p>
        </w:tc>
        <w:tc>
          <w:tcPr>
            <w:tcW w:type="dxa" w:w="2160"/>
          </w:tcPr>
          <w:p>
            <w:r>
              <w:rPr>
                <w:sz w:val="18"/>
              </w:rPr>
              <w:t>Final platform release</w:t>
            </w:r>
          </w:p>
        </w:tc>
        <w:tc>
          <w:tcPr>
            <w:tcW w:type="dxa" w:w="2160"/>
          </w:tcPr>
          <w:p>
            <w:r>
              <w:rPr>
                <w:sz w:val="18"/>
              </w:rPr>
              <w:t>M36</w:t>
            </w:r>
          </w:p>
        </w:tc>
        <w:tc>
          <w:tcPr>
            <w:tcW w:type="dxa" w:w="2160"/>
          </w:tcPr>
          <w:p>
            <w:r>
              <w:rPr>
                <w:sz w:val="18"/>
              </w:rPr>
              <w:t>Open source, AI-on-Demand integration, 3 deployment guides</w:t>
            </w:r>
          </w:p>
        </w:tc>
      </w:tr>
    </w:tbl>
    <w:p>
      <w:pPr>
        <w:pStyle w:val="Heading2"/>
      </w:pPr>
      <w:r>
        <w:t>3.4 Key Deliverables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w:t>
            </w:r>
          </w:p>
        </w:tc>
        <w:tc>
          <w:tcPr>
            <w:tcW w:type="dxa" w:w="1728"/>
          </w:tcPr>
          <w:p>
            <w:r>
              <w:rPr>
                <w:b/>
                <w:sz w:val="18"/>
              </w:rPr>
              <w:t>Title</w:t>
            </w:r>
          </w:p>
        </w:tc>
        <w:tc>
          <w:tcPr>
            <w:tcW w:type="dxa" w:w="1728"/>
          </w:tcPr>
          <w:p>
            <w:r>
              <w:rPr>
                <w:b/>
                <w:sz w:val="18"/>
              </w:rPr>
              <w:t>WP</w:t>
            </w:r>
          </w:p>
        </w:tc>
        <w:tc>
          <w:tcPr>
            <w:tcW w:type="dxa" w:w="1728"/>
          </w:tcPr>
          <w:p>
            <w:r>
              <w:rPr>
                <w:b/>
                <w:sz w:val="18"/>
              </w:rPr>
              <w:t>Month</w:t>
            </w:r>
          </w:p>
        </w:tc>
        <w:tc>
          <w:tcPr>
            <w:tcW w:type="dxa" w:w="1728"/>
          </w:tcPr>
          <w:p>
            <w:r>
              <w:rPr>
                <w:b/>
                <w:sz w:val="18"/>
              </w:rPr>
              <w:t>Type</w:t>
            </w:r>
          </w:p>
        </w:tc>
      </w:tr>
      <w:tr>
        <w:tc>
          <w:tcPr>
            <w:tcW w:type="dxa" w:w="1728"/>
          </w:tcPr>
          <w:p>
            <w:r>
              <w:rPr>
                <w:sz w:val="18"/>
              </w:rPr>
              <w:t>D1.1</w:t>
            </w:r>
          </w:p>
        </w:tc>
        <w:tc>
          <w:tcPr>
            <w:tcW w:type="dxa" w:w="1728"/>
          </w:tcPr>
          <w:p>
            <w:r>
              <w:rPr>
                <w:sz w:val="18"/>
              </w:rPr>
              <w:t>Dynamic Orchestrator Architecture</w:t>
            </w:r>
          </w:p>
        </w:tc>
        <w:tc>
          <w:tcPr>
            <w:tcW w:type="dxa" w:w="1728"/>
          </w:tcPr>
          <w:p>
            <w:r>
              <w:rPr>
                <w:sz w:val="18"/>
              </w:rPr>
              <w:t>WP1</w:t>
            </w:r>
          </w:p>
        </w:tc>
        <w:tc>
          <w:tcPr>
            <w:tcW w:type="dxa" w:w="1728"/>
          </w:tcPr>
          <w:p>
            <w:r>
              <w:rPr>
                <w:sz w:val="18"/>
              </w:rPr>
              <w:t>M6</w:t>
            </w:r>
          </w:p>
        </w:tc>
        <w:tc>
          <w:tcPr>
            <w:tcW w:type="dxa" w:w="1728"/>
          </w:tcPr>
          <w:p>
            <w:r>
              <w:rPr>
                <w:sz w:val="18"/>
              </w:rPr>
              <w:t>Report</w:t>
            </w:r>
          </w:p>
        </w:tc>
      </w:tr>
      <w:tr>
        <w:tc>
          <w:tcPr>
            <w:tcW w:type="dxa" w:w="1728"/>
          </w:tcPr>
          <w:p>
            <w:r>
              <w:rPr>
                <w:sz w:val="18"/>
              </w:rPr>
              <w:t>D1.2</w:t>
            </w:r>
          </w:p>
        </w:tc>
        <w:tc>
          <w:tcPr>
            <w:tcW w:type="dxa" w:w="1728"/>
          </w:tcPr>
          <w:p>
            <w:r>
              <w:rPr>
                <w:sz w:val="18"/>
              </w:rPr>
              <w:t>Orchestrator Reference Implementation</w:t>
            </w:r>
          </w:p>
        </w:tc>
        <w:tc>
          <w:tcPr>
            <w:tcW w:type="dxa" w:w="1728"/>
          </w:tcPr>
          <w:p>
            <w:r>
              <w:rPr>
                <w:sz w:val="18"/>
              </w:rPr>
              <w:t>WP1</w:t>
            </w:r>
          </w:p>
        </w:tc>
        <w:tc>
          <w:tcPr>
            <w:tcW w:type="dxa" w:w="1728"/>
          </w:tcPr>
          <w:p>
            <w:r>
              <w:rPr>
                <w:sz w:val="18"/>
              </w:rPr>
              <w:t>M18</w:t>
            </w:r>
          </w:p>
        </w:tc>
        <w:tc>
          <w:tcPr>
            <w:tcW w:type="dxa" w:w="1728"/>
          </w:tcPr>
          <w:p>
            <w:r>
              <w:rPr>
                <w:sz w:val="18"/>
              </w:rPr>
              <w:t>Software</w:t>
            </w:r>
          </w:p>
        </w:tc>
      </w:tr>
      <w:tr>
        <w:tc>
          <w:tcPr>
            <w:tcW w:type="dxa" w:w="1728"/>
          </w:tcPr>
          <w:p>
            <w:r>
              <w:rPr>
                <w:sz w:val="18"/>
              </w:rPr>
              <w:t>D2.1</w:t>
            </w:r>
          </w:p>
        </w:tc>
        <w:tc>
          <w:tcPr>
            <w:tcW w:type="dxa" w:w="1728"/>
          </w:tcPr>
          <w:p>
            <w:r>
              <w:rPr>
                <w:sz w:val="18"/>
              </w:rPr>
              <w:t>Persistent Memory Architecture</w:t>
            </w:r>
          </w:p>
        </w:tc>
        <w:tc>
          <w:tcPr>
            <w:tcW w:type="dxa" w:w="1728"/>
          </w:tcPr>
          <w:p>
            <w:r>
              <w:rPr>
                <w:sz w:val="18"/>
              </w:rPr>
              <w:t>WP2</w:t>
            </w:r>
          </w:p>
        </w:tc>
        <w:tc>
          <w:tcPr>
            <w:tcW w:type="dxa" w:w="1728"/>
          </w:tcPr>
          <w:p>
            <w:r>
              <w:rPr>
                <w:sz w:val="18"/>
              </w:rPr>
              <w:t>M12</w:t>
            </w:r>
          </w:p>
        </w:tc>
        <w:tc>
          <w:tcPr>
            <w:tcW w:type="dxa" w:w="1728"/>
          </w:tcPr>
          <w:p>
            <w:r>
              <w:rPr>
                <w:sz w:val="18"/>
              </w:rPr>
              <w:t>Report + Software</w:t>
            </w:r>
          </w:p>
        </w:tc>
      </w:tr>
      <w:tr>
        <w:tc>
          <w:tcPr>
            <w:tcW w:type="dxa" w:w="1728"/>
          </w:tcPr>
          <w:p>
            <w:r>
              <w:rPr>
                <w:sz w:val="18"/>
              </w:rPr>
              <w:t>D3.1</w:t>
            </w:r>
          </w:p>
        </w:tc>
        <w:tc>
          <w:tcPr>
            <w:tcW w:type="dxa" w:w="1728"/>
          </w:tcPr>
          <w:p>
            <w:r>
              <w:rPr>
                <w:sz w:val="18"/>
              </w:rPr>
              <w:t>Multi-Agent Coordination Protocol</w:t>
            </w:r>
          </w:p>
        </w:tc>
        <w:tc>
          <w:tcPr>
            <w:tcW w:type="dxa" w:w="1728"/>
          </w:tcPr>
          <w:p>
            <w:r>
              <w:rPr>
                <w:sz w:val="18"/>
              </w:rPr>
              <w:t>WP3</w:t>
            </w:r>
          </w:p>
        </w:tc>
        <w:tc>
          <w:tcPr>
            <w:tcW w:type="dxa" w:w="1728"/>
          </w:tcPr>
          <w:p>
            <w:r>
              <w:rPr>
                <w:sz w:val="18"/>
              </w:rPr>
              <w:t>M15</w:t>
            </w:r>
          </w:p>
        </w:tc>
        <w:tc>
          <w:tcPr>
            <w:tcW w:type="dxa" w:w="1728"/>
          </w:tcPr>
          <w:p>
            <w:r>
              <w:rPr>
                <w:sz w:val="18"/>
              </w:rPr>
              <w:t>Specification</w:t>
            </w:r>
          </w:p>
        </w:tc>
      </w:tr>
      <w:tr>
        <w:tc>
          <w:tcPr>
            <w:tcW w:type="dxa" w:w="1728"/>
          </w:tcPr>
          <w:p>
            <w:r>
              <w:rPr>
                <w:sz w:val="18"/>
              </w:rPr>
              <w:t>D3.2</w:t>
            </w:r>
          </w:p>
        </w:tc>
        <w:tc>
          <w:tcPr>
            <w:tcW w:type="dxa" w:w="1728"/>
          </w:tcPr>
          <w:p>
            <w:r>
              <w:rPr>
                <w:sz w:val="18"/>
              </w:rPr>
              <w:t>Coordination Protocol Implementation</w:t>
            </w:r>
          </w:p>
        </w:tc>
        <w:tc>
          <w:tcPr>
            <w:tcW w:type="dxa" w:w="1728"/>
          </w:tcPr>
          <w:p>
            <w:r>
              <w:rPr>
                <w:sz w:val="18"/>
              </w:rPr>
              <w:t>WP3</w:t>
            </w:r>
          </w:p>
        </w:tc>
        <w:tc>
          <w:tcPr>
            <w:tcW w:type="dxa" w:w="1728"/>
          </w:tcPr>
          <w:p>
            <w:r>
              <w:rPr>
                <w:sz w:val="18"/>
              </w:rPr>
              <w:t>M24</w:t>
            </w:r>
          </w:p>
        </w:tc>
        <w:tc>
          <w:tcPr>
            <w:tcW w:type="dxa" w:w="1728"/>
          </w:tcPr>
          <w:p>
            <w:r>
              <w:rPr>
                <w:sz w:val="18"/>
              </w:rPr>
              <w:t>Software</w:t>
            </w:r>
          </w:p>
        </w:tc>
      </w:tr>
      <w:tr>
        <w:tc>
          <w:tcPr>
            <w:tcW w:type="dxa" w:w="1728"/>
          </w:tcPr>
          <w:p>
            <w:r>
              <w:rPr>
                <w:sz w:val="18"/>
              </w:rPr>
              <w:t>D4.1</w:t>
            </w:r>
          </w:p>
        </w:tc>
        <w:tc>
          <w:tcPr>
            <w:tcW w:type="dxa" w:w="1728"/>
          </w:tcPr>
          <w:p>
            <w:r>
              <w:rPr>
                <w:sz w:val="18"/>
              </w:rPr>
              <w:t>Multi-Step Verification Engine</w:t>
            </w:r>
          </w:p>
        </w:tc>
        <w:tc>
          <w:tcPr>
            <w:tcW w:type="dxa" w:w="1728"/>
          </w:tcPr>
          <w:p>
            <w:r>
              <w:rPr>
                <w:sz w:val="18"/>
              </w:rPr>
              <w:t>WP4</w:t>
            </w:r>
          </w:p>
        </w:tc>
        <w:tc>
          <w:tcPr>
            <w:tcW w:type="dxa" w:w="1728"/>
          </w:tcPr>
          <w:p>
            <w:r>
              <w:rPr>
                <w:sz w:val="18"/>
              </w:rPr>
              <w:t>M18</w:t>
            </w:r>
          </w:p>
        </w:tc>
        <w:tc>
          <w:tcPr>
            <w:tcW w:type="dxa" w:w="1728"/>
          </w:tcPr>
          <w:p>
            <w:r>
              <w:rPr>
                <w:sz w:val="18"/>
              </w:rPr>
              <w:t>Software</w:t>
            </w:r>
          </w:p>
        </w:tc>
      </w:tr>
      <w:tr>
        <w:tc>
          <w:tcPr>
            <w:tcW w:type="dxa" w:w="1728"/>
          </w:tcPr>
          <w:p>
            <w:r>
              <w:rPr>
                <w:sz w:val="18"/>
              </w:rPr>
              <w:t>D5.1</w:t>
            </w:r>
          </w:p>
        </w:tc>
        <w:tc>
          <w:tcPr>
            <w:tcW w:type="dxa" w:w="1728"/>
          </w:tcPr>
          <w:p>
            <w:r>
              <w:rPr>
                <w:sz w:val="18"/>
              </w:rPr>
              <w:t>Hallucination Detection Benchmark</w:t>
            </w:r>
          </w:p>
        </w:tc>
        <w:tc>
          <w:tcPr>
            <w:tcW w:type="dxa" w:w="1728"/>
          </w:tcPr>
          <w:p>
            <w:r>
              <w:rPr>
                <w:sz w:val="18"/>
              </w:rPr>
              <w:t>WP5</w:t>
            </w:r>
          </w:p>
        </w:tc>
        <w:tc>
          <w:tcPr>
            <w:tcW w:type="dxa" w:w="1728"/>
          </w:tcPr>
          <w:p>
            <w:r>
              <w:rPr>
                <w:sz w:val="18"/>
              </w:rPr>
              <w:t>M18</w:t>
            </w:r>
          </w:p>
        </w:tc>
        <w:tc>
          <w:tcPr>
            <w:tcW w:type="dxa" w:w="1728"/>
          </w:tcPr>
          <w:p>
            <w:r>
              <w:rPr>
                <w:sz w:val="18"/>
              </w:rPr>
              <w:t>Dataset + Report</w:t>
            </w:r>
          </w:p>
        </w:tc>
      </w:tr>
      <w:tr>
        <w:tc>
          <w:tcPr>
            <w:tcW w:type="dxa" w:w="1728"/>
          </w:tcPr>
          <w:p>
            <w:r>
              <w:rPr>
                <w:sz w:val="18"/>
              </w:rPr>
              <w:t>D6.1</w:t>
            </w:r>
          </w:p>
        </w:tc>
        <w:tc>
          <w:tcPr>
            <w:tcW w:type="dxa" w:w="1728"/>
          </w:tcPr>
          <w:p>
            <w:r>
              <w:rPr>
                <w:sz w:val="18"/>
              </w:rPr>
              <w:t>EU AI Act Compliance Toolkit v1.0</w:t>
            </w:r>
          </w:p>
        </w:tc>
        <w:tc>
          <w:tcPr>
            <w:tcW w:type="dxa" w:w="1728"/>
          </w:tcPr>
          <w:p>
            <w:r>
              <w:rPr>
                <w:sz w:val="18"/>
              </w:rPr>
              <w:t>WP6</w:t>
            </w:r>
          </w:p>
        </w:tc>
        <w:tc>
          <w:tcPr>
            <w:tcW w:type="dxa" w:w="1728"/>
          </w:tcPr>
          <w:p>
            <w:r>
              <w:rPr>
                <w:sz w:val="18"/>
              </w:rPr>
              <w:t>M24</w:t>
            </w:r>
          </w:p>
        </w:tc>
        <w:tc>
          <w:tcPr>
            <w:tcW w:type="dxa" w:w="1728"/>
          </w:tcPr>
          <w:p>
            <w:r>
              <w:rPr>
                <w:sz w:val="18"/>
              </w:rPr>
              <w:t>Software + Docs</w:t>
            </w:r>
          </w:p>
        </w:tc>
      </w:tr>
      <w:tr>
        <w:tc>
          <w:tcPr>
            <w:tcW w:type="dxa" w:w="1728"/>
          </w:tcPr>
          <w:p>
            <w:r>
              <w:rPr>
                <w:sz w:val="18"/>
              </w:rPr>
              <w:t>D7-9.1</w:t>
            </w:r>
          </w:p>
        </w:tc>
        <w:tc>
          <w:tcPr>
            <w:tcW w:type="dxa" w:w="1728"/>
          </w:tcPr>
          <w:p>
            <w:r>
              <w:rPr>
                <w:sz w:val="18"/>
              </w:rPr>
              <w:t>Sector Validation Reports (x3)</w:t>
            </w:r>
          </w:p>
        </w:tc>
        <w:tc>
          <w:tcPr>
            <w:tcW w:type="dxa" w:w="1728"/>
          </w:tcPr>
          <w:p>
            <w:r>
              <w:rPr>
                <w:sz w:val="18"/>
              </w:rPr>
              <w:t>WP7-9</w:t>
            </w:r>
          </w:p>
        </w:tc>
        <w:tc>
          <w:tcPr>
            <w:tcW w:type="dxa" w:w="1728"/>
          </w:tcPr>
          <w:p>
            <w:r>
              <w:rPr>
                <w:sz w:val="18"/>
              </w:rPr>
              <w:t>M30</w:t>
            </w:r>
          </w:p>
        </w:tc>
        <w:tc>
          <w:tcPr>
            <w:tcW w:type="dxa" w:w="1728"/>
          </w:tcPr>
          <w:p>
            <w:r>
              <w:rPr>
                <w:sz w:val="18"/>
              </w:rPr>
              <w:t>Reports</w:t>
            </w:r>
          </w:p>
        </w:tc>
      </w:tr>
      <w:tr>
        <w:tc>
          <w:tcPr>
            <w:tcW w:type="dxa" w:w="1728"/>
          </w:tcPr>
          <w:p>
            <w:r>
              <w:rPr>
                <w:sz w:val="18"/>
              </w:rPr>
              <w:t>D10.1</w:t>
            </w:r>
          </w:p>
        </w:tc>
        <w:tc>
          <w:tcPr>
            <w:tcW w:type="dxa" w:w="1728"/>
          </w:tcPr>
          <w:p>
            <w:r>
              <w:rPr>
                <w:sz w:val="18"/>
              </w:rPr>
              <w:t>Benchmarking Report</w:t>
            </w:r>
          </w:p>
        </w:tc>
        <w:tc>
          <w:tcPr>
            <w:tcW w:type="dxa" w:w="1728"/>
          </w:tcPr>
          <w:p>
            <w:r>
              <w:rPr>
                <w:sz w:val="18"/>
              </w:rPr>
              <w:t>WP10</w:t>
            </w:r>
          </w:p>
        </w:tc>
        <w:tc>
          <w:tcPr>
            <w:tcW w:type="dxa" w:w="1728"/>
          </w:tcPr>
          <w:p>
            <w:r>
              <w:rPr>
                <w:sz w:val="18"/>
              </w:rPr>
              <w:t>M33</w:t>
            </w:r>
          </w:p>
        </w:tc>
        <w:tc>
          <w:tcPr>
            <w:tcW w:type="dxa" w:w="1728"/>
          </w:tcPr>
          <w:p>
            <w:r>
              <w:rPr>
                <w:sz w:val="18"/>
              </w:rPr>
              <w:t>Report + Dataset</w:t>
            </w:r>
          </w:p>
        </w:tc>
      </w:tr>
      <w:tr>
        <w:tc>
          <w:tcPr>
            <w:tcW w:type="dxa" w:w="1728"/>
          </w:tcPr>
          <w:p>
            <w:r>
              <w:rPr>
                <w:sz w:val="18"/>
              </w:rPr>
              <w:t>D11.1</w:t>
            </w:r>
          </w:p>
        </w:tc>
        <w:tc>
          <w:tcPr>
            <w:tcW w:type="dxa" w:w="1728"/>
          </w:tcPr>
          <w:p>
            <w:r>
              <w:rPr>
                <w:sz w:val="18"/>
              </w:rPr>
              <w:t>TRANSPARENT Platform v1.0</w:t>
            </w:r>
          </w:p>
        </w:tc>
        <w:tc>
          <w:tcPr>
            <w:tcW w:type="dxa" w:w="1728"/>
          </w:tcPr>
          <w:p>
            <w:r>
              <w:rPr>
                <w:sz w:val="18"/>
              </w:rPr>
              <w:t>All</w:t>
            </w:r>
          </w:p>
        </w:tc>
        <w:tc>
          <w:tcPr>
            <w:tcW w:type="dxa" w:w="1728"/>
          </w:tcPr>
          <w:p>
            <w:r>
              <w:rPr>
                <w:sz w:val="18"/>
              </w:rPr>
              <w:t>M36</w:t>
            </w:r>
          </w:p>
        </w:tc>
        <w:tc>
          <w:tcPr>
            <w:tcW w:type="dxa" w:w="1728"/>
          </w:tcPr>
          <w:p>
            <w:r>
              <w:rPr>
                <w:sz w:val="18"/>
              </w:rPr>
              <w:t>Open source software</w:t>
            </w:r>
          </w:p>
        </w:tc>
      </w:tr>
    </w:tbl>
    <w:p>
      <w:pPr>
        <w:pStyle w:val="Heading2"/>
      </w:pPr>
      <w:r>
        <w:t>3.5 Budget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Amount (EUR)</w:t>
            </w:r>
          </w:p>
        </w:tc>
        <w:tc>
          <w:tcPr>
            <w:tcW w:type="dxa" w:w="2880"/>
          </w:tcPr>
          <w:p>
            <w:r>
              <w:rPr>
                <w:b/>
                <w:sz w:val="18"/>
              </w:rPr>
              <w:t>%</w:t>
            </w:r>
          </w:p>
        </w:tc>
      </w:tr>
      <w:tr>
        <w:tc>
          <w:tcPr>
            <w:tcW w:type="dxa" w:w="2880"/>
          </w:tcPr>
          <w:p>
            <w:r>
              <w:rPr>
                <w:sz w:val="18"/>
              </w:rPr>
              <w:t>Personnel costs</w:t>
            </w:r>
          </w:p>
        </w:tc>
        <w:tc>
          <w:tcPr>
            <w:tcW w:type="dxa" w:w="2880"/>
          </w:tcPr>
          <w:p>
            <w:r>
              <w:rPr>
                <w:sz w:val="18"/>
              </w:rPr>
              <w:t>11,500,000</w:t>
            </w:r>
          </w:p>
        </w:tc>
        <w:tc>
          <w:tcPr>
            <w:tcW w:type="dxa" w:w="2880"/>
          </w:tcPr>
          <w:p>
            <w:r>
              <w:rPr>
                <w:sz w:val="18"/>
              </w:rPr>
              <w:t>62%</w:t>
            </w:r>
          </w:p>
        </w:tc>
      </w:tr>
      <w:tr>
        <w:tc>
          <w:tcPr>
            <w:tcW w:type="dxa" w:w="2880"/>
          </w:tcPr>
          <w:p>
            <w:r>
              <w:rPr>
                <w:sz w:val="18"/>
              </w:rPr>
              <w:t>Subcontracting</w:t>
            </w:r>
          </w:p>
        </w:tc>
        <w:tc>
          <w:tcPr>
            <w:tcW w:type="dxa" w:w="2880"/>
          </w:tcPr>
          <w:p>
            <w:r>
              <w:rPr>
                <w:sz w:val="18"/>
              </w:rPr>
              <w:t>1,500,000</w:t>
            </w:r>
          </w:p>
        </w:tc>
        <w:tc>
          <w:tcPr>
            <w:tcW w:type="dxa" w:w="2880"/>
          </w:tcPr>
          <w:p>
            <w:r>
              <w:rPr>
                <w:sz w:val="18"/>
              </w:rPr>
              <w:t>8%</w:t>
            </w:r>
          </w:p>
        </w:tc>
      </w:tr>
      <w:tr>
        <w:tc>
          <w:tcPr>
            <w:tcW w:type="dxa" w:w="2880"/>
          </w:tcPr>
          <w:p>
            <w:r>
              <w:rPr>
                <w:sz w:val="18"/>
              </w:rPr>
              <w:t>Travel &amp; meetings</w:t>
            </w:r>
          </w:p>
        </w:tc>
        <w:tc>
          <w:tcPr>
            <w:tcW w:type="dxa" w:w="2880"/>
          </w:tcPr>
          <w:p>
            <w:r>
              <w:rPr>
                <w:sz w:val="18"/>
              </w:rPr>
              <w:t>800,000</w:t>
            </w:r>
          </w:p>
        </w:tc>
        <w:tc>
          <w:tcPr>
            <w:tcW w:type="dxa" w:w="2880"/>
          </w:tcPr>
          <w:p>
            <w:r>
              <w:rPr>
                <w:sz w:val="18"/>
              </w:rPr>
              <w:t>4%</w:t>
            </w:r>
          </w:p>
        </w:tc>
      </w:tr>
      <w:tr>
        <w:tc>
          <w:tcPr>
            <w:tcW w:type="dxa" w:w="2880"/>
          </w:tcPr>
          <w:p>
            <w:r>
              <w:rPr>
                <w:sz w:val="18"/>
              </w:rPr>
              <w:t>Equipment &amp; infrastructure</w:t>
            </w:r>
          </w:p>
        </w:tc>
        <w:tc>
          <w:tcPr>
            <w:tcW w:type="dxa" w:w="2880"/>
          </w:tcPr>
          <w:p>
            <w:r>
              <w:rPr>
                <w:sz w:val="18"/>
              </w:rPr>
              <w:t>1,200,000</w:t>
            </w:r>
          </w:p>
        </w:tc>
        <w:tc>
          <w:tcPr>
            <w:tcW w:type="dxa" w:w="2880"/>
          </w:tcPr>
          <w:p>
            <w:r>
              <w:rPr>
                <w:sz w:val="18"/>
              </w:rPr>
              <w:t>6%</w:t>
            </w:r>
          </w:p>
        </w:tc>
      </w:tr>
      <w:tr>
        <w:tc>
          <w:tcPr>
            <w:tcW w:type="dxa" w:w="2880"/>
          </w:tcPr>
          <w:p>
            <w:r>
              <w:rPr>
                <w:sz w:val="18"/>
              </w:rPr>
              <w:t>Other direct costs</w:t>
            </w:r>
          </w:p>
        </w:tc>
        <w:tc>
          <w:tcPr>
            <w:tcW w:type="dxa" w:w="2880"/>
          </w:tcPr>
          <w:p>
            <w:r>
              <w:rPr>
                <w:sz w:val="18"/>
              </w:rPr>
              <w:t>500,000</w:t>
            </w:r>
          </w:p>
        </w:tc>
        <w:tc>
          <w:tcPr>
            <w:tcW w:type="dxa" w:w="2880"/>
          </w:tcPr>
          <w:p>
            <w:r>
              <w:rPr>
                <w:sz w:val="18"/>
              </w:rPr>
              <w:t>3%</w:t>
            </w:r>
          </w:p>
        </w:tc>
      </w:tr>
      <w:tr>
        <w:tc>
          <w:tcPr>
            <w:tcW w:type="dxa" w:w="2880"/>
          </w:tcPr>
          <w:p>
            <w:r>
              <w:rPr>
                <w:sz w:val="18"/>
              </w:rPr>
              <w:t>Indirect costs (25% flat rate)</w:t>
            </w:r>
          </w:p>
        </w:tc>
        <w:tc>
          <w:tcPr>
            <w:tcW w:type="dxa" w:w="2880"/>
          </w:tcPr>
          <w:p>
            <w:r>
              <w:rPr>
                <w:sz w:val="18"/>
              </w:rPr>
              <w:t>3,000,000</w:t>
            </w:r>
          </w:p>
        </w:tc>
        <w:tc>
          <w:tcPr>
            <w:tcW w:type="dxa" w:w="2880"/>
          </w:tcPr>
          <w:p>
            <w:r>
              <w:rPr>
                <w:sz w:val="18"/>
              </w:rPr>
              <w:t>16%</w:t>
            </w:r>
          </w:p>
        </w:tc>
      </w:tr>
      <w:tr>
        <w:tc>
          <w:tcPr>
            <w:tcW w:type="dxa" w:w="2880"/>
          </w:tcPr>
          <w:p>
            <w:r>
              <w:rPr>
                <w:sz w:val="18"/>
              </w:rPr>
              <w:t>TOTAL</w:t>
            </w:r>
          </w:p>
        </w:tc>
        <w:tc>
          <w:tcPr>
            <w:tcW w:type="dxa" w:w="2880"/>
          </w:tcPr>
          <w:p>
            <w:r>
              <w:rPr>
                <w:sz w:val="18"/>
              </w:rPr>
              <w:t>18,500,000</w:t>
            </w:r>
          </w:p>
        </w:tc>
        <w:tc>
          <w:tcPr>
            <w:tcW w:type="dxa" w:w="2880"/>
          </w:tcPr>
          <w:p>
            <w:r>
              <w:rPr>
                <w:sz w:val="18"/>
              </w:rPr>
              <w:t>100%</w:t>
            </w:r>
          </w:p>
        </w:tc>
      </w:tr>
    </w:tbl>
    <w:p>
      <w:r>
        <w:br w:type="page"/>
      </w:r>
    </w:p>
    <w:p>
      <w:pPr>
        <w:pStyle w:val="Heading1"/>
      </w:pPr>
      <w:r>
        <w:t>4. Existing Baseline — TOMMI Platform</w:t>
      </w:r>
    </w:p>
    <w:p>
      <w:r>
        <w:rPr>
          <w:b w:val="0"/>
          <w:i w:val="0"/>
          <w:sz w:val="22"/>
        </w:rPr>
        <w:t>TRANSPARENT builds on the TOMMI platform (UMA/UNINOVIS, 2024-2026). TOMMI provides the trustworthiness layer; TRANSPARENT adds the autonomy layer.</w:t>
      </w:r>
    </w:p>
    <w:p>
      <w:r>
        <w:rPr>
          <w:b/>
          <w:i w:val="0"/>
          <w:sz w:val="22"/>
        </w:rPr>
        <w:t>What TOMMI provides (validated, TRL 3-4):</w:t>
      </w:r>
    </w:p>
    <w:p>
      <w:pPr>
        <w:pStyle w:val="ListBullet"/>
      </w:pPr>
      <w:r>
        <w:rPr>
          <w:sz w:val="20"/>
        </w:rPr>
        <w:t>Multi-type agent framework (RAG, Metadata+RAG, Text2SQL, Oneshot) with configurable LLM providers (Ollama, vLLM, Mistral)</w:t>
      </w:r>
    </w:p>
    <w:p>
      <w:pPr>
        <w:pStyle w:val="ListBullet"/>
      </w:pPr>
      <w:r>
        <w:rPr>
          <w:sz w:val="20"/>
        </w:rPr>
        <w:t>Graduated Transparency with 3 levels (crystal box / grey box / black box)</w:t>
      </w:r>
    </w:p>
    <w:p>
      <w:pPr>
        <w:pStyle w:val="ListBullet"/>
      </w:pPr>
      <w:r>
        <w:rPr>
          <w:sz w:val="20"/>
        </w:rPr>
        <w:t>Reliability badges with quantitative source breakdown (metadata %, documents %, LLM %, web %)</w:t>
      </w:r>
    </w:p>
    <w:p>
      <w:pPr>
        <w:pStyle w:val="ListBullet"/>
      </w:pPr>
      <w:r>
        <w:rPr>
          <w:sz w:val="20"/>
        </w:rPr>
        <w:t>Inline claim-level highlighting with colour-coded provenance</w:t>
      </w:r>
    </w:p>
    <w:p>
      <w:pPr>
        <w:pStyle w:val="ListBullet"/>
      </w:pPr>
      <w:r>
        <w:rPr>
          <w:sz w:val="20"/>
        </w:rPr>
        <w:t>Real-time hallucination detection (paper titles, project titles, ID cross-checking)</w:t>
      </w:r>
    </w:p>
    <w:p>
      <w:pPr>
        <w:pStyle w:val="ListBullet"/>
      </w:pPr>
      <w:r>
        <w:rPr>
          <w:sz w:val="20"/>
        </w:rPr>
        <w:t>Structured error taxonomy: 4 categories, 12 error types, 3 severity levels</w:t>
      </w:r>
    </w:p>
    <w:p>
      <w:pPr>
        <w:pStyle w:val="ListBullet"/>
      </w:pPr>
      <w:r>
        <w:rPr>
          <w:sz w:val="20"/>
        </w:rPr>
        <w:t>Tester protocol: 7-phase evaluation methodology with downloadable Excel review files</w:t>
      </w:r>
    </w:p>
    <w:p>
      <w:pPr>
        <w:pStyle w:val="ListBullet"/>
      </w:pPr>
      <w:r>
        <w:rPr>
          <w:sz w:val="20"/>
        </w:rPr>
        <w:t>EU AI Act compliance: audit logging (JSONL), RoPA, Agent Design Cards, GDPR/AI Act transparency notices at login</w:t>
      </w:r>
    </w:p>
    <w:p>
      <w:pPr>
        <w:pStyle w:val="ListBullet"/>
      </w:pPr>
      <w:r>
        <w:rPr>
          <w:sz w:val="20"/>
        </w:rPr>
        <w:t>Role-based access control (superuser/tester/user) with data sovereignty enforcement</w:t>
      </w:r>
    </w:p>
    <w:p>
      <w:pPr>
        <w:pStyle w:val="ListBullet"/>
      </w:pPr>
      <w:r>
        <w:rPr>
          <w:sz w:val="20"/>
        </w:rPr>
        <w:t>Self-registration with institutional email validation and admin approval workflow</w:t>
      </w:r>
    </w:p>
    <w:p>
      <w:pPr>
        <w:pStyle w:val="ListBullet"/>
      </w:pPr>
      <w:r>
        <w:rPr>
          <w:sz w:val="20"/>
        </w:rPr>
        <w:t>Deployed and validated across 8 universities in 8 European countries</w:t>
      </w:r>
    </w:p>
    <w:p>
      <w:r>
        <w:rPr>
          <w:b/>
          <w:i w:val="0"/>
          <w:sz w:val="22"/>
        </w:rPr>
        <w:t>What TOMMI does NOT have (to be developed in TRANSPARENT):</w:t>
      </w:r>
    </w:p>
    <w:p>
      <w:pPr>
        <w:pStyle w:val="ListBullet"/>
      </w:pPr>
      <w:r>
        <w:rPr>
          <w:sz w:val="20"/>
        </w:rPr>
        <w:t>No dynamic planning: agents follow fixed pipelines, cannot decompose goals or replan</w:t>
      </w:r>
    </w:p>
    <w:p>
      <w:pPr>
        <w:pStyle w:val="ListBullet"/>
      </w:pPr>
      <w:r>
        <w:rPr>
          <w:sz w:val="20"/>
        </w:rPr>
        <w:t>No persistent memory: session history is ephemeral, no cross-session learning</w:t>
      </w:r>
    </w:p>
    <w:p>
      <w:pPr>
        <w:pStyle w:val="ListBullet"/>
      </w:pPr>
      <w:r>
        <w:rPr>
          <w:sz w:val="20"/>
        </w:rPr>
        <w:t>No autonomous tool selection: each agent type uses predetermined tools</w:t>
      </w:r>
    </w:p>
    <w:p>
      <w:pPr>
        <w:pStyle w:val="ListBullet"/>
      </w:pPr>
      <w:r>
        <w:rPr>
          <w:sz w:val="20"/>
        </w:rPr>
        <w:t>No multi-agent coordination: agents operate independently, cannot delegate or collaborate</w:t>
      </w:r>
    </w:p>
    <w:p>
      <w:pPr>
        <w:pStyle w:val="ListBullet"/>
      </w:pPr>
      <w:r>
        <w:rPr>
          <w:sz w:val="20"/>
        </w:rPr>
        <w:t>No cross-agent verification: hallucination detection works within a single agent, not across chains</w:t>
      </w:r>
    </w:p>
    <w:p>
      <w:pPr>
        <w:pStyle w:val="ListBullet"/>
      </w:pPr>
      <w:r>
        <w:rPr>
          <w:sz w:val="20"/>
        </w:rPr>
        <w:t>Compliance toolkit is embedded in TOMMI, not packaged as a reusable standalone library</w:t>
      </w:r>
    </w:p>
    <w:p>
      <w:r>
        <w:br w:type="page"/>
      </w:r>
    </w:p>
    <w:p>
      <w:pPr>
        <w:pStyle w:val="Heading1"/>
      </w:pPr>
      <w:r>
        <w:t>5. Alignment with EU Strategies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Strategy</w:t>
            </w:r>
          </w:p>
        </w:tc>
        <w:tc>
          <w:tcPr>
            <w:tcW w:type="dxa" w:w="4320"/>
          </w:tcPr>
          <w:p>
            <w:r>
              <w:rPr>
                <w:b/>
                <w:sz w:val="18"/>
              </w:rPr>
              <w:t>Alignment</w:t>
            </w:r>
          </w:p>
        </w:tc>
      </w:tr>
      <w:tr>
        <w:tc>
          <w:tcPr>
            <w:tcW w:type="dxa" w:w="4320"/>
          </w:tcPr>
          <w:p>
            <w:r>
              <w:rPr>
                <w:sz w:val="18"/>
              </w:rPr>
              <w:t>Apply AI Strategy (COM(2025) 723)</w:t>
            </w:r>
          </w:p>
        </w:tc>
        <w:tc>
          <w:tcPr>
            <w:tcW w:type="dxa" w:w="4320"/>
          </w:tcPr>
          <w:p>
            <w:r>
              <w:rPr>
                <w:sz w:val="18"/>
              </w:rPr>
              <w:t>Direct implementation — next-generation AI agents with trustworthiness for real-world sectors</w:t>
            </w:r>
          </w:p>
        </w:tc>
      </w:tr>
      <w:tr>
        <w:tc>
          <w:tcPr>
            <w:tcW w:type="dxa" w:w="4320"/>
          </w:tcPr>
          <w:p>
            <w:r>
              <w:rPr>
                <w:sz w:val="18"/>
              </w:rPr>
              <w:t>EU AI Act (Reg. 2024/1689)</w:t>
            </w:r>
          </w:p>
        </w:tc>
        <w:tc>
          <w:tcPr>
            <w:tcW w:type="dxa" w:w="4320"/>
          </w:tcPr>
          <w:p>
            <w:r>
              <w:rPr>
                <w:sz w:val="18"/>
              </w:rPr>
              <w:t>Compliance-by-design toolkit; Art. 50 transparency; Art. 4 AI literacy; Art. 5(2) GDPR accountability</w:t>
            </w:r>
          </w:p>
        </w:tc>
      </w:tr>
      <w:tr>
        <w:tc>
          <w:tcPr>
            <w:tcW w:type="dxa" w:w="4320"/>
          </w:tcPr>
          <w:p>
            <w:r>
              <w:rPr>
                <w:sz w:val="18"/>
              </w:rPr>
              <w:t>European Strategy for Data</w:t>
            </w:r>
          </w:p>
        </w:tc>
        <w:tc>
          <w:tcPr>
            <w:tcW w:type="dxa" w:w="4320"/>
          </w:tcPr>
          <w:p>
            <w:r>
              <w:rPr>
                <w:sz w:val="18"/>
              </w:rPr>
              <w:t>Data sovereignty — end-user data never leaves institutional infrastructure</w:t>
            </w:r>
          </w:p>
        </w:tc>
      </w:tr>
      <w:tr>
        <w:tc>
          <w:tcPr>
            <w:tcW w:type="dxa" w:w="4320"/>
          </w:tcPr>
          <w:p>
            <w:r>
              <w:rPr>
                <w:sz w:val="18"/>
              </w:rPr>
              <w:t>Digital Europe Programme</w:t>
            </w:r>
          </w:p>
        </w:tc>
        <w:tc>
          <w:tcPr>
            <w:tcW w:type="dxa" w:w="4320"/>
          </w:tcPr>
          <w:p>
            <w:r>
              <w:rPr>
                <w:sz w:val="18"/>
              </w:rPr>
              <w:t>Integration with AI-on-Demand Platform; validation in TEFs; deployment via EDIHs</w:t>
            </w:r>
          </w:p>
        </w:tc>
      </w:tr>
      <w:tr>
        <w:tc>
          <w:tcPr>
            <w:tcW w:type="dxa" w:w="4320"/>
          </w:tcPr>
          <w:p>
            <w:r>
              <w:rPr>
                <w:sz w:val="18"/>
              </w:rPr>
              <w:t>European Education Area</w:t>
            </w:r>
          </w:p>
        </w:tc>
        <w:tc>
          <w:tcPr>
            <w:tcW w:type="dxa" w:w="4320"/>
          </w:tcPr>
          <w:p>
            <w:r>
              <w:rPr>
                <w:sz w:val="18"/>
              </w:rPr>
              <w:t>Research intelligence validation across 8 UNINOVIS universities</w:t>
            </w:r>
          </w:p>
        </w:tc>
      </w:tr>
    </w:tbl>
    <w:p>
      <w:pPr>
        <w:pStyle w:val="Heading1"/>
      </w:pPr>
      <w:r>
        <w:t>6. Ethics and Risk Management</w:t>
      </w:r>
    </w:p>
    <w:p>
      <w:pPr>
        <w:pStyle w:val="Heading2"/>
      </w:pPr>
      <w:r>
        <w:t>6.1 Ethical Considerations</w:t>
      </w:r>
    </w:p>
    <w:p>
      <w:pPr>
        <w:pStyle w:val="ListBullet"/>
      </w:pPr>
      <w:r>
        <w:rPr>
          <w:sz w:val="20"/>
        </w:rPr>
        <w:t>All AI agents are informational only — no autonomous decisions affecting individuals</w:t>
      </w:r>
    </w:p>
    <w:p>
      <w:pPr>
        <w:pStyle w:val="ListBullet"/>
      </w:pPr>
      <w:r>
        <w:rPr>
          <w:sz w:val="20"/>
        </w:rPr>
        <w:t>GDPR-compliant data processing documented in existing RoPA</w:t>
      </w:r>
    </w:p>
    <w:p>
      <w:pPr>
        <w:pStyle w:val="ListBullet"/>
      </w:pPr>
      <w:r>
        <w:rPr>
          <w:sz w:val="20"/>
        </w:rPr>
        <w:t>Data sovereignty: end-user data processed exclusively on institutional infrastructure</w:t>
      </w:r>
    </w:p>
    <w:p>
      <w:pPr>
        <w:pStyle w:val="ListBullet"/>
      </w:pPr>
      <w:r>
        <w:rPr>
          <w:sz w:val="20"/>
        </w:rPr>
        <w:t>Gender dimension addressed in team composition and user testing</w:t>
      </w:r>
    </w:p>
    <w:p>
      <w:pPr>
        <w:pStyle w:val="ListBullet"/>
      </w:pPr>
      <w:r>
        <w:rPr>
          <w:sz w:val="20"/>
        </w:rPr>
        <w:t>Accessibility considerations in UI design</w:t>
      </w:r>
    </w:p>
    <w:p>
      <w:pPr>
        <w:pStyle w:val="ListBullet"/>
      </w:pPr>
      <w:r>
        <w:rPr>
          <w:sz w:val="20"/>
        </w:rPr>
        <w:t>Persistent memory raises new privacy questions — WP2 includes a dedicated privacy-by-design task with GDPR-compliant forgetting mechanisms</w:t>
      </w:r>
    </w:p>
    <w:p>
      <w:pPr>
        <w:pStyle w:val="Heading2"/>
      </w:pPr>
      <w:r>
        <w:t>6.2 Risk Management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Risk</w:t>
            </w:r>
          </w:p>
        </w:tc>
        <w:tc>
          <w:tcPr>
            <w:tcW w:type="dxa" w:w="2160"/>
          </w:tcPr>
          <w:p>
            <w:r>
              <w:rPr>
                <w:b/>
                <w:sz w:val="18"/>
              </w:rPr>
              <w:t>Prob.</w:t>
            </w:r>
          </w:p>
        </w:tc>
        <w:tc>
          <w:tcPr>
            <w:tcW w:type="dxa" w:w="2160"/>
          </w:tcPr>
          <w:p>
            <w:r>
              <w:rPr>
                <w:b/>
                <w:sz w:val="18"/>
              </w:rPr>
              <w:t>Impact</w:t>
            </w:r>
          </w:p>
        </w:tc>
        <w:tc>
          <w:tcPr>
            <w:tcW w:type="dxa" w:w="2160"/>
          </w:tcPr>
          <w:p>
            <w:r>
              <w:rPr>
                <w:b/>
                <w:sz w:val="18"/>
              </w:rPr>
              <w:t>Mitigation</w:t>
            </w:r>
          </w:p>
        </w:tc>
      </w:tr>
      <w:tr>
        <w:tc>
          <w:tcPr>
            <w:tcW w:type="dxa" w:w="2160"/>
          </w:tcPr>
          <w:p>
            <w:r>
              <w:rPr>
                <w:sz w:val="18"/>
              </w:rPr>
              <w:t>Planning overhead degrades response time</w:t>
            </w:r>
          </w:p>
        </w:tc>
        <w:tc>
          <w:tcPr>
            <w:tcW w:type="dxa" w:w="2160"/>
          </w:tcPr>
          <w:p>
            <w:r>
              <w:rPr>
                <w:sz w:val="18"/>
              </w:rPr>
              <w:t>High</w:t>
            </w:r>
          </w:p>
        </w:tc>
        <w:tc>
          <w:tcPr>
            <w:tcW w:type="dxa" w:w="2160"/>
          </w:tcPr>
          <w:p>
            <w:r>
              <w:rPr>
                <w:sz w:val="18"/>
              </w:rPr>
              <w:t>Med</w:t>
            </w:r>
          </w:p>
        </w:tc>
        <w:tc>
          <w:tcPr>
            <w:tcW w:type="dxa" w:w="2160"/>
          </w:tcPr>
          <w:p>
            <w:r>
              <w:rPr>
                <w:sz w:val="18"/>
              </w:rPr>
              <w:t>Configurable planning depth; lightweight planning for simple queries, full planning for complex goals</w:t>
            </w:r>
          </w:p>
        </w:tc>
      </w:tr>
      <w:tr>
        <w:tc>
          <w:tcPr>
            <w:tcW w:type="dxa" w:w="2160"/>
          </w:tcPr>
          <w:p>
            <w:r>
              <w:rPr>
                <w:sz w:val="18"/>
              </w:rPr>
              <w:t>Multi-agent coordination introduces new failure modes</w:t>
            </w:r>
          </w:p>
        </w:tc>
        <w:tc>
          <w:tcPr>
            <w:tcW w:type="dxa" w:w="2160"/>
          </w:tcPr>
          <w:p>
            <w:r>
              <w:rPr>
                <w:sz w:val="18"/>
              </w:rPr>
              <w:t>Med</w:t>
            </w:r>
          </w:p>
        </w:tc>
        <w:tc>
          <w:tcPr>
            <w:tcW w:type="dxa" w:w="2160"/>
          </w:tcPr>
          <w:p>
            <w:r>
              <w:rPr>
                <w:sz w:val="18"/>
              </w:rPr>
              <w:t>High</w:t>
            </w:r>
          </w:p>
        </w:tc>
        <w:tc>
          <w:tcPr>
            <w:tcW w:type="dxa" w:w="2160"/>
          </w:tcPr>
          <w:p>
            <w:r>
              <w:rPr>
                <w:sz w:val="18"/>
              </w:rPr>
              <w:t>Graceful degradation: if coordination fails, fall back to single-agent mode with transparency about the limitation</w:t>
            </w:r>
          </w:p>
        </w:tc>
      </w:tr>
      <w:tr>
        <w:tc>
          <w:tcPr>
            <w:tcW w:type="dxa" w:w="2160"/>
          </w:tcPr>
          <w:p>
            <w:r>
              <w:rPr>
                <w:sz w:val="18"/>
              </w:rPr>
              <w:t>Persistent memory raises GDPR concerns</w:t>
            </w:r>
          </w:p>
        </w:tc>
        <w:tc>
          <w:tcPr>
            <w:tcW w:type="dxa" w:w="2160"/>
          </w:tcPr>
          <w:p>
            <w:r>
              <w:rPr>
                <w:sz w:val="18"/>
              </w:rPr>
              <w:t>Med</w:t>
            </w:r>
          </w:p>
        </w:tc>
        <w:tc>
          <w:tcPr>
            <w:tcW w:type="dxa" w:w="2160"/>
          </w:tcPr>
          <w:p>
            <w:r>
              <w:rPr>
                <w:sz w:val="18"/>
              </w:rPr>
              <w:t>High</w:t>
            </w:r>
          </w:p>
        </w:tc>
        <w:tc>
          <w:tcPr>
            <w:tcW w:type="dxa" w:w="2160"/>
          </w:tcPr>
          <w:p>
            <w:r>
              <w:rPr>
                <w:sz w:val="18"/>
              </w:rPr>
              <w:t>Privacy-by-design: configurable retention, right-to-erasure implementation, anonymisation of episodic memory</w:t>
            </w:r>
          </w:p>
        </w:tc>
      </w:tr>
      <w:tr>
        <w:tc>
          <w:tcPr>
            <w:tcW w:type="dxa" w:w="2160"/>
          </w:tcPr>
          <w:p>
            <w:r>
              <w:rPr>
                <w:sz w:val="18"/>
              </w:rPr>
              <w:t>LLM providers change API/terms</w:t>
            </w:r>
          </w:p>
        </w:tc>
        <w:tc>
          <w:tcPr>
            <w:tcW w:type="dxa" w:w="2160"/>
          </w:tcPr>
          <w:p>
            <w:r>
              <w:rPr>
                <w:sz w:val="18"/>
              </w:rPr>
              <w:t>Med</w:t>
            </w:r>
          </w:p>
        </w:tc>
        <w:tc>
          <w:tcPr>
            <w:tcW w:type="dxa" w:w="2160"/>
          </w:tcPr>
          <w:p>
            <w:r>
              <w:rPr>
                <w:sz w:val="18"/>
              </w:rPr>
              <w:t>Med</w:t>
            </w:r>
          </w:p>
        </w:tc>
        <w:tc>
          <w:tcPr>
            <w:tcW w:type="dxa" w:w="2160"/>
          </w:tcPr>
          <w:p>
            <w:r>
              <w:rPr>
                <w:sz w:val="18"/>
              </w:rPr>
              <w:t>Multi-provider architecture (Mistral, Ollama, vLLM); local deployment priority</w:t>
            </w:r>
          </w:p>
        </w:tc>
      </w:tr>
      <w:tr>
        <w:tc>
          <w:tcPr>
            <w:tcW w:type="dxa" w:w="2160"/>
          </w:tcPr>
          <w:p>
            <w:r>
              <w:rPr>
                <w:sz w:val="18"/>
              </w:rPr>
              <w:t>Hallucination detection insufficient for multi-agent chains</w:t>
            </w:r>
          </w:p>
        </w:tc>
        <w:tc>
          <w:tcPr>
            <w:tcW w:type="dxa" w:w="2160"/>
          </w:tcPr>
          <w:p>
            <w:r>
              <w:rPr>
                <w:sz w:val="18"/>
              </w:rPr>
              <w:t>Med</w:t>
            </w:r>
          </w:p>
        </w:tc>
        <w:tc>
          <w:tcPr>
            <w:tcW w:type="dxa" w:w="2160"/>
          </w:tcPr>
          <w:p>
            <w:r>
              <w:rPr>
                <w:sz w:val="18"/>
              </w:rPr>
              <w:t>Med</w:t>
            </w:r>
          </w:p>
        </w:tc>
        <w:tc>
          <w:tcPr>
            <w:tcW w:type="dxa" w:w="2160"/>
          </w:tcPr>
          <w:p>
            <w:r>
              <w:rPr>
                <w:sz w:val="18"/>
              </w:rPr>
              <w:t>Progressive verification: each agent step verified before passing to next; chain-level confidence score</w:t>
            </w:r>
          </w:p>
        </w:tc>
      </w:tr>
      <w:tr>
        <w:tc>
          <w:tcPr>
            <w:tcW w:type="dxa" w:w="2160"/>
          </w:tcPr>
          <w:p>
            <w:r>
              <w:rPr>
                <w:sz w:val="18"/>
              </w:rPr>
              <w:t>AI Act interpretation evolves during project</w:t>
            </w:r>
          </w:p>
        </w:tc>
        <w:tc>
          <w:tcPr>
            <w:tcW w:type="dxa" w:w="2160"/>
          </w:tcPr>
          <w:p>
            <w:r>
              <w:rPr>
                <w:sz w:val="18"/>
              </w:rPr>
              <w:t>Med</w:t>
            </w:r>
          </w:p>
        </w:tc>
        <w:tc>
          <w:tcPr>
            <w:tcW w:type="dxa" w:w="2160"/>
          </w:tcPr>
          <w:p>
            <w:r>
              <w:rPr>
                <w:sz w:val="18"/>
              </w:rPr>
              <w:t>Med</w:t>
            </w:r>
          </w:p>
        </w:tc>
        <w:tc>
          <w:tcPr>
            <w:tcW w:type="dxa" w:w="2160"/>
          </w:tcPr>
          <w:p>
            <w:r>
              <w:rPr>
                <w:sz w:val="18"/>
              </w:rPr>
              <w:t>Legal partner monitors regulatory development; toolkit designed for configurability</w:t>
            </w:r>
          </w:p>
        </w:tc>
      </w:tr>
      <w:tr>
        <w:tc>
          <w:tcPr>
            <w:tcW w:type="dxa" w:w="2160"/>
          </w:tcPr>
          <w:p>
            <w:r>
              <w:rPr>
                <w:sz w:val="18"/>
              </w:rPr>
              <w:t>Low adoption outside academia</w:t>
            </w:r>
          </w:p>
        </w:tc>
        <w:tc>
          <w:tcPr>
            <w:tcW w:type="dxa" w:w="2160"/>
          </w:tcPr>
          <w:p>
            <w:r>
              <w:rPr>
                <w:sz w:val="18"/>
              </w:rPr>
              <w:t>Med</w:t>
            </w:r>
          </w:p>
        </w:tc>
        <w:tc>
          <w:tcPr>
            <w:tcW w:type="dxa" w:w="2160"/>
          </w:tcPr>
          <w:p>
            <w:r>
              <w:rPr>
                <w:sz w:val="18"/>
              </w:rPr>
              <w:t>Med</w:t>
            </w:r>
          </w:p>
        </w:tc>
        <w:tc>
          <w:tcPr>
            <w:tcW w:type="dxa" w:w="2160"/>
          </w:tcPr>
          <w:p>
            <w:r>
              <w:rPr>
                <w:sz w:val="18"/>
              </w:rPr>
              <w:t>Industry partner and SME partner drive exploitation; compliance toolkit as standalone product</w:t>
            </w:r>
          </w:p>
        </w:tc>
      </w:tr>
    </w:tbl>
    <w:p/>
    <w:p>
      <w:pPr>
        <w:jc w:val="center"/>
      </w:pPr>
      <w:r>
        <w:rPr>
          <w:color w:val="94A3B8"/>
          <w:sz w:val="18"/>
        </w:rPr>
        <w:t>Draft v2 — April 2026</w:t>
      </w:r>
    </w:p>
    <w:p>
      <w:pPr>
        <w:jc w:val="center"/>
      </w:pPr>
      <w:r>
        <w:rPr>
          <w:color w:val="94A3B8"/>
          <w:sz w:val="18"/>
        </w:rPr>
        <w:t>Based on: Horizon Europe Work Programme 2026-2027, Cluster 4, pp. 130-133</w:t>
      </w:r>
    </w:p>
    <w:p>
      <w:pPr>
        <w:jc w:val="center"/>
      </w:pPr>
      <w:r>
        <w:rPr>
          <w:color w:val="94A3B8"/>
          <w:sz w:val="18"/>
        </w:rPr>
        <w:t>Building on: TOMMI Transparent Agents Platform (UMA/UNINOVIS, 2024-2026)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