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a987232f42cc846937f7d5eaf5fbc14a27236f"/>
    <w:p>
      <w:pPr>
        <w:pStyle w:val="Heading1"/>
      </w:pPr>
      <w:r>
        <w:t xml:space="preserve">Data Collection for the Responsible AI Research Explorer</w:t>
      </w:r>
    </w:p>
    <w:p>
      <w:pPr>
        <w:pStyle w:val="FirstParagraph"/>
      </w:pPr>
      <w:r>
        <w:t xml:space="preserve">This folder contains the data files needed to complete the Responsible AI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Responsible AI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Responsible AI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philosophy without AI, general law without algorithmic context)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4447551a5fd1564bb9f3ef54b440c13c27dc62f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Glossary_Responsible_AI.md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explainability, fairness, governance, ethics, privacy, and trustworthiness.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responsible_ai_papers.xlsx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responsible_ai_projects/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responsible_ai_papers.xlsx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responsible_ai_projects/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Responsible AI research.</w:t>
      </w:r>
    </w:p>
    <w:bookmarkStart w:id="14" w:name="review-papers-responsible_ai_papers.xlsx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responsible_ai_papers.xlsx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Responsible AI.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review-projects-responsible_ai_projects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responsible_ai_projects/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Glossary_Responsible_AI.md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responsible_ai_papers.xlsx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responsible_ai_projects/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responsible_ai_papers.xlsx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responsible_ai_projects/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responsible_ai_projects/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