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64748B"/>
          <w:sz w:val="24"/>
        </w:rPr>
        <w:t>HORIZON-CL4-2026-05-DIGITAL-EMERGING-02</w:t>
      </w:r>
    </w:p>
    <w:p>
      <w:pPr>
        <w:jc w:val="center"/>
      </w:pPr>
      <w:r>
        <w:rPr>
          <w:b/>
          <w:color w:val="2563EB"/>
          <w:sz w:val="28"/>
        </w:rPr>
        <w:t>Next-Generation AI Agents for Real-World Applications</w:t>
      </w:r>
    </w:p>
    <w:p/>
    <w:p>
      <w:pPr>
        <w:jc w:val="center"/>
      </w:pPr>
      <w:r>
        <w:rPr>
          <w:b/>
          <w:sz w:val="48"/>
        </w:rPr>
        <w:t>TRANSPARENT</w:t>
      </w:r>
    </w:p>
    <w:p>
      <w:pPr>
        <w:jc w:val="center"/>
      </w:pPr>
      <w:r>
        <w:rPr>
          <w:i/>
          <w:sz w:val="22"/>
        </w:rPr>
        <w:t>Trustworthy, Reliable, and Accountable Next-generation Smart</w:t>
        <w:br/>
        <w:t>Platforms for AI Agent Real-world Evaluation, Navigation and Testing</w:t>
      </w:r>
    </w:p>
    <w:p/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HORIZON-CL4-2026-05-DIGITAL-EMERGING-02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 of 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RIA (Research and Innovation Action)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36 months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Requested EU contribution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EUR 18,500,000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Start: TRL 3 → End: TRL 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Partnership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AI, Data and Robotics (ADRA)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Coordinator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Universidad de Malaga (UMA), Spain</w:t>
            </w:r>
          </w:p>
        </w:tc>
      </w:tr>
    </w:tbl>
    <w:p>
      <w:r>
        <w:br w:type="page"/>
      </w:r>
    </w:p>
    <w:p>
      <w:pPr>
        <w:pStyle w:val="Heading1"/>
      </w:pPr>
      <w:r>
        <w:t>1. Excellence</w:t>
      </w:r>
    </w:p>
    <w:p>
      <w:pPr>
        <w:pStyle w:val="Heading2"/>
      </w:pPr>
      <w:r>
        <w:t>1.1 Objectives</w:t>
      </w:r>
    </w:p>
    <w:p>
      <w:pPr>
        <w:spacing w:after="80"/>
      </w:pPr>
      <w:r>
        <w:rPr>
          <w:b w:val="0"/>
          <w:i w:val="0"/>
          <w:sz w:val="22"/>
        </w:rPr>
        <w:t>The overarching objective of TRANSPARENT is to develop and validate a next-generation AI agent platform that embeds trustworthiness, transparency, and EU AI Act compliance as core architectural principles — not as afterthoughts.</w:t>
      </w:r>
    </w:p>
    <w:p>
      <w:pPr>
        <w:spacing w:after="80"/>
      </w:pPr>
      <w:r>
        <w:rPr>
          <w:b/>
          <w:i w:val="0"/>
          <w:sz w:val="22"/>
        </w:rPr>
        <w:t>Specific objectives:</w:t>
      </w:r>
    </w:p>
    <w:p>
      <w:r>
        <w:rPr>
          <w:b/>
          <w:sz w:val="20"/>
        </w:rPr>
        <w:t xml:space="preserve">SO1 — Advanced AI agent architectures with built-in transparency. </w:t>
      </w:r>
      <w:r>
        <w:rPr>
          <w:sz w:val="20"/>
        </w:rPr>
        <w:t>Develop next-generation AI agent architectures that combine RAG (Retrieval-Augmented Generation), structured metadata reasoning, SQL tool use, and multi-agent coordination, with graduated transparency at every layer.</w:t>
      </w:r>
    </w:p>
    <w:p>
      <w:r>
        <w:rPr>
          <w:b/>
          <w:sz w:val="20"/>
        </w:rPr>
        <w:t xml:space="preserve">SO2 — Reliability verification and hallucination detection. </w:t>
      </w:r>
      <w:r>
        <w:rPr>
          <w:sz w:val="20"/>
        </w:rPr>
        <w:t>Advance the state of the art in real-time verification of AI agent outputs, including claim-level source attribution, hallucination detection, and confidence scoring that users can interpret and trust.</w:t>
      </w:r>
    </w:p>
    <w:p>
      <w:r>
        <w:rPr>
          <w:b/>
          <w:sz w:val="20"/>
        </w:rPr>
        <w:t xml:space="preserve">SO3 — Multi-agent coordination with accountability. </w:t>
      </w:r>
      <w:r>
        <w:rPr>
          <w:sz w:val="20"/>
        </w:rPr>
        <w:t>Design and implement multi-agent frameworks where agents can collaborate on complex tasks while maintaining individual audit trails, source attribution, and accountability chains.</w:t>
      </w:r>
    </w:p>
    <w:p>
      <w:r>
        <w:rPr>
          <w:b/>
          <w:sz w:val="20"/>
        </w:rPr>
        <w:t xml:space="preserve">SO4 — EU AI Act compliance-by-design toolkit. </w:t>
      </w:r>
      <w:r>
        <w:rPr>
          <w:sz w:val="20"/>
        </w:rPr>
        <w:t>Create a reusable, open-source toolkit for AI agent developers to build EU AI Act-compliant systems, including automated audit logging, risk classification, transparency reporting, and human oversight mechanisms.</w:t>
      </w:r>
    </w:p>
    <w:p>
      <w:r>
        <w:rPr>
          <w:b/>
          <w:sz w:val="20"/>
        </w:rPr>
        <w:t xml:space="preserve">SO5 — Real-world validation across sectors. </w:t>
      </w:r>
      <w:r>
        <w:rPr>
          <w:sz w:val="20"/>
        </w:rPr>
        <w:t>Validate the platform in three real-world application domains: (a) research intelligence and academic knowledge management, (b) public administration decision support, and (c) healthcare information retrieval — demonstrating cross-sector applicability.</w:t>
      </w:r>
    </w:p>
    <w:p>
      <w:pPr>
        <w:pStyle w:val="Heading2"/>
      </w:pPr>
      <w:r>
        <w:t>1.2 Relation to the Call</w:t>
      </w:r>
    </w:p>
    <w:p>
      <w:pPr>
        <w:spacing w:after="80"/>
      </w:pPr>
      <w:r>
        <w:rPr>
          <w:b w:val="0"/>
          <w:i w:val="0"/>
          <w:sz w:val="22"/>
        </w:rPr>
        <w:t>The call asks for "autonomous systems powered by large AI models that can plan, utilize tools and perform actions autonomously to achieve specified goals." TRANSPARENT addresses every requirement: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Call requirement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TRANSPARENT response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Planning and reasoning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Multi-step query decomposition: RAG retrieval → metadata enrichment → tool use → response synthesis →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Memory management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Session-based conversation history with context preservation, per-agent persistent knowledge bases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Tool 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SQL querying (Text2SQL), semantic search (ChromaDB/RAG), structured metadata lookup, interactive map generation, document retrieval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Multi-agent frameworks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Multiple agent types (RAG, Metadata+RAG, Text2SQL, Oneshot) operating on shared infrastructure with role-based access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and monitoring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Real-time reliability badges, claim-level source attribution, hallucination detection, audit logging — TRANSPARENT's unique contribution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Benchmarking and KPIs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error taxonomy, tester protocol, quantitative reliability metrics</w:t>
            </w:r>
          </w:p>
        </w:tc>
      </w:tr>
    </w:tbl>
    <w:p>
      <w:pPr>
        <w:pStyle w:val="Heading2"/>
      </w:pPr>
      <w:r>
        <w:t>1.3 Novelty — Beyond the State of the Art</w:t>
      </w:r>
    </w:p>
    <w:p>
      <w:pPr>
        <w:spacing w:after="80"/>
      </w:pPr>
      <w:r>
        <w:rPr>
          <w:b w:val="0"/>
          <w:i w:val="0"/>
          <w:sz w:val="22"/>
        </w:rPr>
        <w:t>Current AI agent frameworks (LangChain, AutoGen, CrewAI) focus on capability — making agents do more. TRANSPARENT focuses on accountability — making agents you can trust and verify.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Current state of the art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TRANSPARENT advance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Agents generate answers without source attribution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claim is traced to its source (metadata, document, LLM, web) with colour-coded provenance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Hallucination detection is post-hoc and external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Built-in, real-time hallucination detection with paper/project title verification against the knowledge base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Transparency is binary (on/off)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Graduated Transparency Framework: crystal box (full detail) → grey box (essential indicators) → black box (audit-only)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EU AI Act compliance requires manual documentation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Automated compliance toolkit: audit logging, risk classification, Design Cards, RoPA 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 evaluation is ad-hoc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testing methodology with error taxonomy (content/transparency/technical), severity levels, and tester protocol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Multi-agent systems lack individual accountability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Per-agent audit trails, per-agent reliability scoring, role-based access control</w:t>
            </w:r>
          </w:p>
        </w:tc>
      </w:tr>
    </w:tbl>
    <w:p>
      <w:pPr>
        <w:pStyle w:val="Heading2"/>
      </w:pPr>
      <w:r>
        <w:t>1.4 Methodology</w:t>
      </w:r>
    </w:p>
    <w:p>
      <w:pPr>
        <w:spacing w:after="80"/>
      </w:pPr>
      <w:r>
        <w:rPr>
          <w:b/>
          <w:i w:val="0"/>
          <w:sz w:val="22"/>
        </w:rPr>
        <w:t>Phase 1 — Architecture Extension (M1-M12)</w:t>
      </w:r>
    </w:p>
    <w:p>
      <w:pPr>
        <w:pStyle w:val="ListBullet"/>
      </w:pPr>
      <w:r>
        <w:rPr>
          <w:sz w:val="20"/>
        </w:rPr>
        <w:t>WP1: Extend TOMMI's agent architecture with advanced planning (multi-step decomposition, sub-goal generation)</w:t>
      </w:r>
    </w:p>
    <w:p>
      <w:pPr>
        <w:pStyle w:val="ListBullet"/>
      </w:pPr>
      <w:r>
        <w:rPr>
          <w:sz w:val="20"/>
        </w:rPr>
        <w:t>WP2: Implement persistent memory (cross-session knowledge, user preference learning)</w:t>
      </w:r>
    </w:p>
    <w:p>
      <w:pPr>
        <w:pStyle w:val="ListBullet"/>
      </w:pPr>
      <w:r>
        <w:rPr>
          <w:sz w:val="20"/>
        </w:rPr>
        <w:t>WP3: Develop multi-agent coordination protocol with accountability chains</w:t>
      </w:r>
    </w:p>
    <w:p>
      <w:pPr>
        <w:spacing w:after="80"/>
      </w:pPr>
      <w:r>
        <w:rPr>
          <w:b/>
          <w:i w:val="0"/>
          <w:sz w:val="22"/>
        </w:rPr>
        <w:t>Phase 2 — Verification &amp; Trust (M6-M24)</w:t>
      </w:r>
    </w:p>
    <w:p>
      <w:pPr>
        <w:pStyle w:val="ListBullet"/>
      </w:pPr>
      <w:r>
        <w:rPr>
          <w:sz w:val="20"/>
        </w:rPr>
        <w:t>WP4: Advance claim-level verification to handle complex multi-source reasoning</w:t>
      </w:r>
    </w:p>
    <w:p>
      <w:pPr>
        <w:pStyle w:val="ListBullet"/>
      </w:pPr>
      <w:r>
        <w:rPr>
          <w:sz w:val="20"/>
        </w:rPr>
        <w:t>WP5: Develop cross-agent hallucination detection (when Agent A cites Agent B's output)</w:t>
      </w:r>
    </w:p>
    <w:p>
      <w:pPr>
        <w:pStyle w:val="ListBullet"/>
      </w:pPr>
      <w:r>
        <w:rPr>
          <w:sz w:val="20"/>
        </w:rPr>
        <w:t>WP6: Create the EU AI Act compliance-by-design toolkit</w:t>
      </w:r>
    </w:p>
    <w:p>
      <w:pPr>
        <w:spacing w:after="80"/>
      </w:pPr>
      <w:r>
        <w:rPr>
          <w:b/>
          <w:i w:val="0"/>
          <w:sz w:val="22"/>
        </w:rPr>
        <w:t>Phase 3 — Validation &amp; Deployment (M18-M36)</w:t>
      </w:r>
    </w:p>
    <w:p>
      <w:pPr>
        <w:pStyle w:val="ListBullet"/>
      </w:pPr>
      <w:r>
        <w:rPr>
          <w:sz w:val="20"/>
        </w:rPr>
        <w:t>WP7: Validation in research intelligence (UNINOVIS, 8 universities, 8 countries)</w:t>
      </w:r>
    </w:p>
    <w:p>
      <w:pPr>
        <w:pStyle w:val="ListBullet"/>
      </w:pPr>
      <w:r>
        <w:rPr>
          <w:sz w:val="20"/>
        </w:rPr>
        <w:t>WP8: Validation in public administration (partnership with local/regional governments)</w:t>
      </w:r>
    </w:p>
    <w:p>
      <w:pPr>
        <w:pStyle w:val="ListBullet"/>
      </w:pPr>
      <w:r>
        <w:rPr>
          <w:sz w:val="20"/>
        </w:rPr>
        <w:t>WP9: Validation in healthcare information (partnership with clinical institutions)</w:t>
      </w:r>
    </w:p>
    <w:p>
      <w:pPr>
        <w:pStyle w:val="ListBullet"/>
      </w:pPr>
      <w:r>
        <w:rPr>
          <w:sz w:val="20"/>
        </w:rPr>
        <w:t>WP10: Benchmarking, KPIs, and comparison with existing frameworks</w:t>
      </w:r>
    </w:p>
    <w:p>
      <w:r>
        <w:br w:type="page"/>
      </w:r>
    </w:p>
    <w:p>
      <w:pPr>
        <w:pStyle w:val="Heading1"/>
      </w:pPr>
      <w:r>
        <w:t>2. Impact</w:t>
      </w:r>
    </w:p>
    <w:p>
      <w:pPr>
        <w:pStyle w:val="Heading2"/>
      </w:pPr>
      <w:r>
        <w:t>2.1 Expected Outcomes</w:t>
      </w:r>
    </w:p>
    <w:p>
      <w:pPr>
        <w:spacing w:after="80"/>
      </w:pPr>
      <w:r>
        <w:rPr>
          <w:b/>
          <w:i w:val="0"/>
          <w:sz w:val="22"/>
        </w:rPr>
        <w:t>Outcome 1: Significant improvements in autonomy, robustness and reliability of AI agents</w:t>
      </w:r>
    </w:p>
    <w:p>
      <w:pPr>
        <w:pStyle w:val="ListBullet"/>
      </w:pPr>
      <w:r>
        <w:rPr>
          <w:sz w:val="20"/>
        </w:rPr>
        <w:t>TRANSPARENT delivers agents that are not only autonomous but verifiably reliable — every response carries a quantitative reliability score backed by claim-level evidence</w:t>
      </w:r>
    </w:p>
    <w:p>
      <w:pPr>
        <w:pStyle w:val="ListBullet"/>
      </w:pPr>
      <w:r>
        <w:rPr>
          <w:sz w:val="20"/>
        </w:rPr>
        <w:t>Robustness demonstrated through structured testing across 3 sectors, 8+ countries, with standardised error taxonomy</w:t>
      </w:r>
    </w:p>
    <w:p>
      <w:pPr>
        <w:spacing w:after="80"/>
      </w:pPr>
      <w:r>
        <w:rPr>
          <w:b/>
          <w:i w:val="0"/>
          <w:sz w:val="22"/>
        </w:rPr>
        <w:t>Outcome 2: Innovative multi-agent frameworks demonstrating effective coordination</w:t>
      </w:r>
    </w:p>
    <w:p>
      <w:pPr>
        <w:pStyle w:val="ListBullet"/>
      </w:pPr>
      <w:r>
        <w:rPr>
          <w:sz w:val="20"/>
        </w:rPr>
        <w:t>Multi-agent coordination where RAG agents, metadata agents, and SQL agents collaborate on complex queries</w:t>
      </w:r>
    </w:p>
    <w:p>
      <w:pPr>
        <w:pStyle w:val="ListBullet"/>
      </w:pPr>
      <w:r>
        <w:rPr>
          <w:sz w:val="20"/>
        </w:rPr>
        <w:t>Each agent maintains its own audit trail; the orchestrator tracks the full accountability chain</w:t>
      </w:r>
    </w:p>
    <w:p>
      <w:pPr>
        <w:pStyle w:val="ListBullet"/>
      </w:pPr>
      <w:r>
        <w:rPr>
          <w:sz w:val="20"/>
        </w:rPr>
        <w:t>Open protocol for inter-agent communication with provenance tracking</w:t>
      </w:r>
    </w:p>
    <w:p>
      <w:pPr>
        <w:pStyle w:val="Heading2"/>
      </w:pPr>
      <w:r>
        <w:t>2.2 Impact Pathways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Pathway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Trustworthy AI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Open-source platform + compliance toolkit lowers barrier for AI Act-compliant agent deployment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50+ organisations piloting by M36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European AI ecosystem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Results shared via AI-on-Demand Platform; interoperability with ADRA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TEF validations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Policy 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Evidence-based feedback on AI Act implementation from real deployments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policy briefs to EC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Academic impact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Publications on transparency-by-design, hallucination 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15+ publications in top venues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SME enablement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 toolkit reduces cost of AI Act adherence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Toolkit adopted by 20+ SMEs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Cross-sector 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Demonstrated in research, public admin, healthcare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deployment guides</w:t>
            </w:r>
          </w:p>
        </w:tc>
      </w:tr>
    </w:tbl>
    <w:p>
      <w:pPr>
        <w:pStyle w:val="Heading2"/>
      </w:pPr>
      <w:r>
        <w:t>2.3 Dissemination &amp; Exploitation</w:t>
      </w:r>
    </w:p>
    <w:p>
      <w:pPr>
        <w:pStyle w:val="ListBullet"/>
      </w:pPr>
      <w:r>
        <w:rPr>
          <w:sz w:val="20"/>
        </w:rPr>
        <w:t>Open source: TOMMI/TRANSPARENT platform released under permissive license (Apache 2.0)</w:t>
      </w:r>
    </w:p>
    <w:p>
      <w:pPr>
        <w:pStyle w:val="ListBullet"/>
      </w:pPr>
      <w:r>
        <w:rPr>
          <w:sz w:val="20"/>
        </w:rPr>
        <w:t>AI-on-Demand Platform: Results published and tools integrated</w:t>
      </w:r>
    </w:p>
    <w:p>
      <w:pPr>
        <w:pStyle w:val="ListBullet"/>
      </w:pPr>
      <w:r>
        <w:rPr>
          <w:sz w:val="20"/>
        </w:rPr>
        <w:t>Standards: Input to CEN-CENELEC AI standardisation (transparency, testing)</w:t>
      </w:r>
    </w:p>
    <w:p>
      <w:pPr>
        <w:pStyle w:val="ListBullet"/>
      </w:pPr>
      <w:r>
        <w:rPr>
          <w:sz w:val="20"/>
        </w:rPr>
        <w:t>Training: Testing methodology documentation adapted for broader use</w:t>
      </w:r>
    </w:p>
    <w:p>
      <w:pPr>
        <w:pStyle w:val="ListBullet"/>
      </w:pPr>
      <w:r>
        <w:rPr>
          <w:sz w:val="20"/>
        </w:rPr>
        <w:t>Industry workshops: Annual workshops with AI developers and deployers</w:t>
      </w:r>
    </w:p>
    <w:p>
      <w:r>
        <w:br w:type="page"/>
      </w:r>
    </w:p>
    <w:p>
      <w:pPr>
        <w:pStyle w:val="Heading1"/>
      </w:pPr>
      <w:r>
        <w:t>3. Implementation</w:t>
      </w:r>
    </w:p>
    <w:p>
      <w:pPr>
        <w:pStyle w:val="Heading2"/>
      </w:pPr>
      <w:r>
        <w:t>3.1 Work Packages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WP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Lead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Months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Budget (EUR)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Advanced Agent Architectures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2,200,000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Persistent Memory &amp; Context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USPN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1,600,000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WP3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Multi-Agent Coordination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Institute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6-24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1,900,000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WP4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Claim Verification &amp; Source Attribution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6-24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1,700,000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WP5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Hallucination Detection at Scale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THUAS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6-24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1,400,000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WP6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EU AI Act Compliance Toolkit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 partner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12-30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1,100,000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WP7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Validation: Research Intelligence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TAMK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18-36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1,600,000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WP8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Validation: Public Administration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UDCLV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18-36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1,400,000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WP9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Validation: Healthcare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18-36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1,400,000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WP10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Benchmarking &amp; Assessment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Industry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24-36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1,100,000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WP11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Dissemination, Exploitation &amp;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1,600,000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17,000,000</w:t>
            </w:r>
          </w:p>
        </w:tc>
      </w:tr>
    </w:tbl>
    <w:p>
      <w:pPr>
        <w:spacing w:after="80"/>
      </w:pPr>
      <w:r>
        <w:rPr>
          <w:b w:val="0"/>
          <w:i/>
          <w:sz w:val="18"/>
        </w:rPr>
        <w:t>Remaining EUR 1.5M allocated to subcontracting, travel, equipment, and indirect costs.</w:t>
      </w:r>
    </w:p>
    <w:p>
      <w:pPr>
        <w:pStyle w:val="Heading2"/>
      </w:pPr>
      <w:r>
        <w:t>3.2 Consortium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Partner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Universidad de Malaga (UMA)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Coordinator — TOMMI platform, architecture, WP1/WP4/WP11 lead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Tampere Univ. of Applied Sciences (TAMK)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Finland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Applied AI, validation lead (WP7)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Hague Univ. of Applied Sciences (THUAS)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Netherlands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Responsible AI hub, hallucination detection (WP5)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 Wurzburg-Schweinfurt (THWS)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Germany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Robotics &amp; AI, healthcare validation (WP9)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Univ. Sorbonne Paris Nord (USPN)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NLP, multilingual agents, memory (WP2)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Univ. of Campania "L. Vanvitelli" (UDCLV)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Italy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in public admin, validation (WP8)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Research Institute (TBD)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DE/FR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Multi-agent architectures (WP3)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Industry partner — AI/LLM (TBD)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Scalability, benchmarking (WP10)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Legal/Ethics partner (TBD)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NL/IT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Act compliance toolkit (WP6)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SME — AI tooling (TBD)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Commercialisation, developer tools</w:t>
            </w:r>
          </w:p>
        </w:tc>
      </w:tr>
    </w:tbl>
    <w:p>
      <w:pPr>
        <w:pStyle w:val="Heading2"/>
      </w:pPr>
      <w:r>
        <w:t>3.3 Key Milestones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Month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Architecture design 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 document reviewed by advisory board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Multi-agent protocol specification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Protocol published, reference implementation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MS3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Verification engine v2.0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Benchmark results on hallucination detection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MS4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Act compliance toolkit beta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Toolkit tested with 10 external developers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MS5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Cross-sector validation 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Validation reports for 3 sectors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MS6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 platform release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source release, AI-on-Demand integration</w:t>
            </w:r>
          </w:p>
        </w:tc>
      </w:tr>
    </w:tbl>
    <w:p>
      <w:pPr>
        <w:pStyle w:val="Heading2"/>
      </w:pPr>
      <w:r>
        <w:t>3.4 Key Deliverables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Month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TRANSPARENT Architecture Specification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D3.1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Multi-Agent Coordination Protocol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WP3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 + Software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D4.1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Claim Verification Engine v2.0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WP4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Software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D5.1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Hallucination Detection Benchmark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WP5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Dataset + Report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D6.1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EU AI Act Compliance Toolkit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WP6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Software + Docs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D7.1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Research Intelligence Validation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WP7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D8.1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Public Administration Validation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WP8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D9.1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Healthcare Validation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WP9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Benchmarking &amp; Comparative Assessment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WP10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D11.1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TRANSPARENT Platform v1.0 (open source)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Software</w:t>
            </w:r>
          </w:p>
        </w:tc>
      </w:tr>
    </w:tbl>
    <w:p>
      <w:pPr>
        <w:pStyle w:val="Heading2"/>
      </w:pPr>
      <w:r>
        <w:t>3.5 Budget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Amount (EUR)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Personnel costs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11,500,000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Subcontracting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1,500,000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Travel &amp; meetings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Equipment &amp; infrastructure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1,200,000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Other direct costs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Indirect costs (25% flat rate)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3,000,000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18,500,000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t>4. Existing Baseline — What TOMMI Already Brings</w:t>
      </w:r>
    </w:p>
    <w:p>
      <w:pPr>
        <w:spacing w:after="80"/>
      </w:pPr>
      <w:r>
        <w:rPr>
          <w:b w:val="0"/>
          <w:i w:val="0"/>
          <w:sz w:val="22"/>
        </w:rPr>
        <w:t>TRANSPARENT does not start from zero. The TOMMI platform, developed by UMA within the UNINOVIS European University Alliance (2024-2026), provides a validated TRL 3-4 baseline:</w:t>
      </w:r>
    </w:p>
    <w:p>
      <w:pPr>
        <w:spacing w:after="80"/>
      </w:pPr>
      <w:r>
        <w:rPr>
          <w:b/>
          <w:i w:val="0"/>
          <w:sz w:val="22"/>
        </w:rPr>
        <w:t>Already implemented and validated:</w:t>
      </w:r>
    </w:p>
    <w:p>
      <w:pPr>
        <w:pStyle w:val="ListBullet"/>
      </w:pPr>
      <w:r>
        <w:rPr>
          <w:sz w:val="20"/>
        </w:rPr>
        <w:t>Multi-type agent framework (RAG, Metadata+RAG, Text2SQL, Oneshot) with configurable LLM providers (Ollama, vLLM, Mistral)</w:t>
      </w:r>
    </w:p>
    <w:p>
      <w:pPr>
        <w:pStyle w:val="ListBullet"/>
      </w:pPr>
      <w:r>
        <w:rPr>
          <w:sz w:val="20"/>
        </w:rPr>
        <w:t>Graduated Transparency with 3 levels (crystal box / grey box / black box)</w:t>
      </w:r>
    </w:p>
    <w:p>
      <w:pPr>
        <w:pStyle w:val="ListBullet"/>
      </w:pPr>
      <w:r>
        <w:rPr>
          <w:sz w:val="20"/>
        </w:rPr>
        <w:t>Reliability badges with quantitative source breakdown (metadata %, documents %, LLM %, web %)</w:t>
      </w:r>
    </w:p>
    <w:p>
      <w:pPr>
        <w:pStyle w:val="ListBullet"/>
      </w:pPr>
      <w:r>
        <w:rPr>
          <w:sz w:val="20"/>
        </w:rPr>
        <w:t>Inline claim-level highlighting with colour-coded provenance</w:t>
      </w:r>
    </w:p>
    <w:p>
      <w:pPr>
        <w:pStyle w:val="ListBullet"/>
      </w:pPr>
      <w:r>
        <w:rPr>
          <w:sz w:val="20"/>
        </w:rPr>
        <w:t>Real-time hallucination detection (paper title verification, project title verification, ID cross-checking)</w:t>
      </w:r>
    </w:p>
    <w:p>
      <w:pPr>
        <w:pStyle w:val="ListBullet"/>
      </w:pPr>
      <w:r>
        <w:rPr>
          <w:sz w:val="20"/>
        </w:rPr>
        <w:t>Structured error taxonomy with 4 categories and 12 error types</w:t>
      </w:r>
    </w:p>
    <w:p>
      <w:pPr>
        <w:pStyle w:val="ListBullet"/>
      </w:pPr>
      <w:r>
        <w:rPr>
          <w:sz w:val="20"/>
        </w:rPr>
        <w:t>Tester protocol with 7-phase evaluation methodology and downloadable Excel review files</w:t>
      </w:r>
    </w:p>
    <w:p>
      <w:pPr>
        <w:pStyle w:val="ListBullet"/>
      </w:pPr>
      <w:r>
        <w:rPr>
          <w:sz w:val="20"/>
        </w:rPr>
        <w:t>EU AI Act compliance infrastructure: audit logging (JSONL), RoPA, Agent Design Cards, GDPR/AI Act transparency notices</w:t>
      </w:r>
    </w:p>
    <w:p>
      <w:pPr>
        <w:pStyle w:val="ListBullet"/>
      </w:pPr>
      <w:r>
        <w:rPr>
          <w:sz w:val="20"/>
        </w:rPr>
        <w:t>Role-based access control (superuser/tester/user) with data sovereignty enforcement — end-user data never leaves institutional infrastructure</w:t>
      </w:r>
    </w:p>
    <w:p>
      <w:pPr>
        <w:pStyle w:val="ListBullet"/>
      </w:pPr>
      <w:r>
        <w:rPr>
          <w:sz w:val="20"/>
        </w:rPr>
        <w:t>Self-registration with UNINOVIS institutional email validation and admin approval workflow</w:t>
      </w:r>
    </w:p>
    <w:p>
      <w:pPr>
        <w:pStyle w:val="ListBullet"/>
      </w:pPr>
      <w:r>
        <w:rPr>
          <w:sz w:val="20"/>
        </w:rPr>
        <w:t>Deployed and tested across 8 universities in 8 European countries (Spain, Germany, Netherlands, France, Italy, Lithuania, Albania, Finland)</w:t>
      </w:r>
    </w:p>
    <w:p>
      <w:pPr>
        <w:spacing w:after="80"/>
      </w:pPr>
      <w:r>
        <w:rPr>
          <w:b/>
          <w:i w:val="0"/>
          <w:sz w:val="22"/>
        </w:rPr>
        <w:t>To be developed in TRANSPARENT:</w:t>
      </w:r>
    </w:p>
    <w:p>
      <w:pPr>
        <w:pStyle w:val="ListBullet"/>
      </w:pPr>
      <w:r>
        <w:rPr>
          <w:sz w:val="20"/>
        </w:rPr>
        <w:t>Advanced planning with sub-goal decomposition and chain-of-thought reasoning</w:t>
      </w:r>
    </w:p>
    <w:p>
      <w:pPr>
        <w:pStyle w:val="ListBullet"/>
      </w:pPr>
      <w:r>
        <w:rPr>
          <w:sz w:val="20"/>
        </w:rPr>
        <w:t>Persistent cross-session memory with user preference learning</w:t>
      </w:r>
    </w:p>
    <w:p>
      <w:pPr>
        <w:pStyle w:val="ListBullet"/>
      </w:pPr>
      <w:r>
        <w:rPr>
          <w:sz w:val="20"/>
        </w:rPr>
        <w:t>Multi-agent coordination protocol with accountability chains</w:t>
      </w:r>
    </w:p>
    <w:p>
      <w:pPr>
        <w:pStyle w:val="ListBullet"/>
      </w:pPr>
      <w:r>
        <w:rPr>
          <w:sz w:val="20"/>
        </w:rPr>
        <w:t>Cross-agent hallucination detection (when Agent A cites Agent B's output)</w:t>
      </w:r>
    </w:p>
    <w:p>
      <w:pPr>
        <w:pStyle w:val="ListBullet"/>
      </w:pPr>
      <w:r>
        <w:rPr>
          <w:sz w:val="20"/>
        </w:rPr>
        <w:t>Automated AI Act compliance checking (not just logging, but active verification)</w:t>
      </w:r>
    </w:p>
    <w:p>
      <w:pPr>
        <w:pStyle w:val="ListBullet"/>
      </w:pPr>
      <w:r>
        <w:rPr>
          <w:sz w:val="20"/>
        </w:rPr>
        <w:t>Scalable deployment infrastructure (containerised, cloud-neutral)</w:t>
      </w:r>
    </w:p>
    <w:p>
      <w:pPr>
        <w:pStyle w:val="ListBullet"/>
      </w:pPr>
      <w:r>
        <w:rPr>
          <w:sz w:val="20"/>
        </w:rPr>
        <w:t>Validation in public administration and healthcare (beyond academia)</w:t>
      </w:r>
    </w:p>
    <w:p>
      <w:pPr>
        <w:pStyle w:val="ListBullet"/>
      </w:pPr>
      <w:r>
        <w:rPr>
          <w:sz w:val="20"/>
        </w:rPr>
        <w:t>Formal benchmarking against LangChain, AutoGen, CrewAI, and other frameworks</w:t>
      </w:r>
    </w:p>
    <w:p>
      <w:r>
        <w:br w:type="page"/>
      </w:r>
    </w:p>
    <w:p>
      <w:pPr>
        <w:pStyle w:val="Heading1"/>
      </w:pPr>
      <w:r>
        <w:t>5. Alignment with EU Strategies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Alignment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Apply AI Strategy (COM(2025) 723)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Direct implementation — AI agents for real-world sectors with trustworthiness built 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EU AI Act (Reg. 2024/1689)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Compliance-by-design toolkit; transparency obligations (Art. 50); AI literacy (Art. 4); accountability (Art. 5(2) GDPR)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European Strategy for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 sovereignty — user data never leaves institutional infrastructure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 Europe Programme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Interoperability with AI-on-Demand Platform, TEFs, EDIHs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European Education Area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Validated in 8 UNINOVIS universities; AI literacy for researchers and students</w:t>
            </w:r>
          </w:p>
        </w:tc>
      </w:tr>
    </w:tbl>
    <w:p>
      <w:pPr>
        <w:pStyle w:val="Heading1"/>
      </w:pPr>
      <w:r>
        <w:t>6. Ethical Considerations</w:t>
      </w:r>
    </w:p>
    <w:p>
      <w:pPr>
        <w:pStyle w:val="ListBullet"/>
      </w:pPr>
      <w:r>
        <w:rPr>
          <w:sz w:val="20"/>
        </w:rPr>
        <w:t>All AI agents are informational only — no autonomous decisions affecting individuals</w:t>
      </w:r>
    </w:p>
    <w:p>
      <w:pPr>
        <w:pStyle w:val="ListBullet"/>
      </w:pPr>
      <w:r>
        <w:rPr>
          <w:sz w:val="20"/>
        </w:rPr>
        <w:t>GDPR-compliant data processing documented in existing RoPA</w:t>
      </w:r>
    </w:p>
    <w:p>
      <w:pPr>
        <w:pStyle w:val="ListBullet"/>
      </w:pPr>
      <w:r>
        <w:rPr>
          <w:sz w:val="20"/>
        </w:rPr>
        <w:t>Data sovereignty: end-user data processed exclusively on institutional infrastructure</w:t>
      </w:r>
    </w:p>
    <w:p>
      <w:pPr>
        <w:pStyle w:val="ListBullet"/>
      </w:pPr>
      <w:r>
        <w:rPr>
          <w:sz w:val="20"/>
        </w:rPr>
        <w:t>Gender dimension addressed in team composition and user testing</w:t>
      </w:r>
    </w:p>
    <w:p>
      <w:pPr>
        <w:pStyle w:val="ListBullet"/>
      </w:pPr>
      <w:r>
        <w:rPr>
          <w:sz w:val="20"/>
        </w:rPr>
        <w:t>Accessibility considerations in UI design</w:t>
      </w:r>
    </w:p>
    <w:p>
      <w:pPr>
        <w:pStyle w:val="ListBullet"/>
      </w:pPr>
      <w:r>
        <w:rPr>
          <w:sz w:val="20"/>
        </w:rPr>
        <w:t>No dual-use concerns — platform is for knowledge retrieval, not autonomous action</w:t>
      </w:r>
    </w:p>
    <w:p>
      <w:pPr>
        <w:pStyle w:val="Heading1"/>
      </w:pPr>
      <w:r>
        <w:t>7. Risk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Prob.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LLM providers change API/terms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Multi-provider architecture (Mistral, Ollama, vLLM); local deployment option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Hallucination detection insufficient for new domains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Domain-specific knowledge bases; tester feedback loop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Partner dropout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UNINOVIS MoU; each partner has self-contained WP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Act interpretation changes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partner monitors regulatory evolution; flexible toolkit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Scalability challenges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Cloud-neutral architecture; progressive scaling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Low adoption outside academia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Industry partner drives exploitation; SME toolkit</w:t>
            </w:r>
          </w:p>
        </w:tc>
      </w:tr>
    </w:tbl>
    <w:p/>
    <w:p>
      <w:pPr>
        <w:jc w:val="center"/>
      </w:pPr>
      <w:r>
        <w:rPr>
          <w:color w:val="94A3B8"/>
          <w:sz w:val="18"/>
        </w:rPr>
        <w:t>Draft prepared: April 2026</w:t>
      </w:r>
    </w:p>
    <w:p>
      <w:pPr>
        <w:jc w:val="center"/>
      </w:pPr>
      <w:r>
        <w:rPr>
          <w:color w:val="94A3B8"/>
          <w:sz w:val="18"/>
        </w:rPr>
        <w:t>Based on: Horizon Europe Work Programme 2026-2027, Cluster 4 — Digital, Industry and Space</w:t>
      </w:r>
    </w:p>
    <w:p>
      <w:pPr>
        <w:jc w:val="center"/>
      </w:pPr>
      <w:r>
        <w:rPr>
          <w:color w:val="94A3B8"/>
          <w:sz w:val="18"/>
        </w:rPr>
        <w:t>Building on: TOMMI Transparent Agents Platform (UMA/UNINOVIS, 2024-2026)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