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4B785" w14:textId="3A4E2056" w:rsidR="00E53E40" w:rsidRPr="00E53E40" w:rsidRDefault="00E53E40">
      <w:pPr>
        <w:rPr>
          <w:b/>
          <w:bCs/>
          <w:lang w:val="en-US"/>
        </w:rPr>
      </w:pPr>
      <w:proofErr w:type="spellStart"/>
      <w:r w:rsidRPr="00E53E40">
        <w:rPr>
          <w:b/>
          <w:bCs/>
          <w:lang w:val="en-US"/>
        </w:rPr>
        <w:t>Notas</w:t>
      </w:r>
      <w:proofErr w:type="spellEnd"/>
      <w:r w:rsidRPr="00E53E40">
        <w:rPr>
          <w:b/>
          <w:bCs/>
          <w:lang w:val="en-US"/>
        </w:rPr>
        <w:t xml:space="preserve"> del </w:t>
      </w:r>
      <w:r>
        <w:rPr>
          <w:b/>
          <w:bCs/>
          <w:lang w:val="en-US"/>
        </w:rPr>
        <w:t>H</w:t>
      </w:r>
      <w:r w:rsidRPr="00E53E40">
        <w:rPr>
          <w:b/>
          <w:bCs/>
          <w:lang w:val="en-US"/>
        </w:rPr>
        <w:t xml:space="preserve">uffman </w:t>
      </w:r>
      <w:r>
        <w:rPr>
          <w:b/>
          <w:bCs/>
          <w:lang w:val="en-US"/>
        </w:rPr>
        <w:t xml:space="preserve">et al., </w:t>
      </w:r>
      <w:r w:rsidRPr="00E53E40">
        <w:rPr>
          <w:b/>
          <w:bCs/>
          <w:lang w:val="en-US"/>
        </w:rPr>
        <w:t>199</w:t>
      </w:r>
      <w:r>
        <w:rPr>
          <w:b/>
          <w:bCs/>
          <w:lang w:val="en-US"/>
        </w:rPr>
        <w:t xml:space="preserve">3 </w:t>
      </w:r>
      <w:r w:rsidRPr="00E53E40">
        <w:rPr>
          <w:b/>
          <w:bCs/>
          <w:lang w:val="en-US"/>
        </w:rPr>
        <w:t>Nasalization, and the Velum. Nasalization Velopharyngeal Function</w:t>
      </w:r>
      <w:r w:rsidRPr="00E53E40">
        <w:rPr>
          <w:b/>
          <w:bCs/>
          <w:lang w:val="en-US"/>
        </w:rPr>
        <w:t xml:space="preserve"> </w:t>
      </w:r>
    </w:p>
    <w:p w14:paraId="76CFB154" w14:textId="77777777" w:rsidR="00E53E40" w:rsidRPr="00E53E40" w:rsidRDefault="00E53E40">
      <w:pPr>
        <w:rPr>
          <w:b/>
          <w:bCs/>
          <w:lang w:val="en-US"/>
        </w:rPr>
      </w:pPr>
    </w:p>
    <w:p w14:paraId="4DF07045" w14:textId="02E98735" w:rsidR="00E53E40" w:rsidRPr="00E53E40" w:rsidRDefault="00E53E40">
      <w:pPr>
        <w:rPr>
          <w:b/>
          <w:bCs/>
        </w:rPr>
      </w:pPr>
      <w:r w:rsidRPr="00E53E40">
        <w:rPr>
          <w:b/>
          <w:bCs/>
        </w:rPr>
        <w:t>Metodología análisis nasalidad</w:t>
      </w:r>
    </w:p>
    <w:p w14:paraId="78919F3F" w14:textId="7F895B3C" w:rsidR="00E53E40" w:rsidRDefault="00E53E40"/>
    <w:p w14:paraId="537E0A60" w14:textId="12060CEF" w:rsidR="00CF1DA2" w:rsidRPr="00CF1DA2" w:rsidRDefault="00CF1DA2">
      <w:pPr>
        <w:rPr>
          <w:b/>
          <w:bCs/>
          <w:lang w:val="en-US"/>
        </w:rPr>
      </w:pPr>
      <w:r w:rsidRPr="00CF1DA2">
        <w:rPr>
          <w:b/>
          <w:bCs/>
          <w:lang w:val="en-US"/>
        </w:rPr>
        <w:t>4. MOVEMENT EFFECTS: AERODYNAMICS AND ACOUSTICS</w:t>
      </w:r>
    </w:p>
    <w:p w14:paraId="12C547B4" w14:textId="77777777" w:rsidR="00CF1DA2" w:rsidRPr="00CF1DA2" w:rsidRDefault="00CF1DA2">
      <w:pPr>
        <w:rPr>
          <w:lang w:val="en-US"/>
        </w:rPr>
      </w:pPr>
    </w:p>
    <w:p w14:paraId="13F870A4" w14:textId="0D3A758E" w:rsidR="00E53E40" w:rsidRDefault="00A86FF3">
      <w:r w:rsidRPr="009B6FDA">
        <w:rPr>
          <w:b/>
          <w:bCs/>
        </w:rPr>
        <w:t xml:space="preserve">Problemas </w:t>
      </w:r>
      <w:r w:rsidR="009B6FDA" w:rsidRPr="009B6FDA">
        <w:rPr>
          <w:b/>
          <w:bCs/>
        </w:rPr>
        <w:t>generales</w:t>
      </w:r>
      <w:r>
        <w:t xml:space="preserve"> (</w:t>
      </w:r>
      <w:proofErr w:type="spellStart"/>
      <w:r>
        <w:t>pág</w:t>
      </w:r>
      <w:proofErr w:type="spellEnd"/>
      <w:r>
        <w:t xml:space="preserve"> 32; 37 del PDF)</w:t>
      </w:r>
    </w:p>
    <w:p w14:paraId="2A61F48F" w14:textId="0AEFE054" w:rsidR="00E53E40" w:rsidRDefault="00E53E40"/>
    <w:p w14:paraId="2F7DA9D8" w14:textId="5306955C" w:rsidR="00E53E40" w:rsidRPr="00A86FF3" w:rsidRDefault="00A86FF3" w:rsidP="00A86FF3">
      <w:pPr>
        <w:autoSpaceDE w:val="0"/>
        <w:autoSpaceDN w:val="0"/>
        <w:adjustRightInd w:val="0"/>
        <w:ind w:left="708"/>
        <w:rPr>
          <w:lang w:val="en-US"/>
        </w:rPr>
      </w:pPr>
      <w:r w:rsidRPr="00A86FF3">
        <w:rPr>
          <w:rFonts w:ascii="Times New Roman" w:hAnsi="Times New Roman" w:cs="Times New Roman"/>
          <w:sz w:val="20"/>
          <w:szCs w:val="20"/>
          <w:lang w:val="en-US"/>
        </w:rPr>
        <w:t>caution must be exercised when planning and carrying out</w:t>
      </w:r>
      <w:r w:rsidRPr="00A86FF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86FF3">
        <w:rPr>
          <w:rFonts w:ascii="Times New Roman" w:hAnsi="Times New Roman" w:cs="Times New Roman"/>
          <w:sz w:val="20"/>
          <w:szCs w:val="20"/>
          <w:lang w:val="en-US"/>
        </w:rPr>
        <w:t>experiments which investigate these more indirect indicators of velopharyngeal</w:t>
      </w:r>
      <w:r w:rsidRPr="00A86FF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86FF3">
        <w:rPr>
          <w:rFonts w:ascii="Times New Roman" w:hAnsi="Times New Roman" w:cs="Times New Roman"/>
          <w:sz w:val="20"/>
          <w:szCs w:val="20"/>
          <w:lang w:val="en-US"/>
        </w:rPr>
        <w:t>function. For example, we know that some articulatory changes are not reflected</w:t>
      </w:r>
      <w:r w:rsidRPr="00A86FF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86FF3">
        <w:rPr>
          <w:rFonts w:ascii="Times New Roman" w:hAnsi="Times New Roman" w:cs="Times New Roman"/>
          <w:sz w:val="20"/>
          <w:szCs w:val="20"/>
          <w:lang w:val="en-US"/>
        </w:rPr>
        <w:t>straightforwardly in aerodynamic and acoustic measures. Beyond a certain degree</w:t>
      </w:r>
      <w:r w:rsidRPr="00A86FF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86FF3">
        <w:rPr>
          <w:rFonts w:ascii="Times New Roman" w:hAnsi="Times New Roman" w:cs="Times New Roman"/>
          <w:sz w:val="20"/>
          <w:szCs w:val="20"/>
          <w:lang w:val="en-US"/>
        </w:rPr>
        <w:t>of velopharyngeal opening, changes in velum position have a nonlinear effect on</w:t>
      </w:r>
      <w:r w:rsidRPr="00A86FF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86FF3">
        <w:rPr>
          <w:rFonts w:ascii="Times New Roman" w:hAnsi="Times New Roman" w:cs="Times New Roman"/>
          <w:sz w:val="20"/>
          <w:szCs w:val="20"/>
          <w:lang w:val="en-US"/>
        </w:rPr>
        <w:t>the amount of nasal airflow and a minimal effect on the spectral properties of the</w:t>
      </w:r>
      <w:r w:rsidRPr="00A86FF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86FF3">
        <w:rPr>
          <w:rFonts w:ascii="Times New Roman" w:hAnsi="Times New Roman" w:cs="Times New Roman"/>
          <w:sz w:val="20"/>
          <w:szCs w:val="20"/>
          <w:lang w:val="en-US"/>
        </w:rPr>
        <w:t>speech produced. Furthermore, there can be changes in aerodynamic or acoustic</w:t>
      </w:r>
      <w:r w:rsidRPr="00A86FF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86FF3">
        <w:rPr>
          <w:rFonts w:ascii="Times New Roman" w:hAnsi="Times New Roman" w:cs="Times New Roman"/>
          <w:sz w:val="20"/>
          <w:szCs w:val="20"/>
          <w:lang w:val="en-US"/>
        </w:rPr>
        <w:t>data that do not reflect changes in velopharyngeal opening and nasal coupling per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86FF3">
        <w:rPr>
          <w:rFonts w:ascii="Times New Roman" w:hAnsi="Times New Roman" w:cs="Times New Roman"/>
          <w:sz w:val="20"/>
          <w:szCs w:val="20"/>
          <w:lang w:val="en-US"/>
        </w:rPr>
        <w:t>se.</w:t>
      </w:r>
    </w:p>
    <w:p w14:paraId="1F873D29" w14:textId="3E9CDE6A" w:rsidR="00A86FF3" w:rsidRDefault="00A86FF3">
      <w:pPr>
        <w:rPr>
          <w:lang w:val="en-US"/>
        </w:rPr>
      </w:pPr>
    </w:p>
    <w:p w14:paraId="230D4E58" w14:textId="0AE2C745" w:rsidR="00A86FF3" w:rsidRPr="009B6FDA" w:rsidRDefault="009B6FDA">
      <w:pPr>
        <w:rPr>
          <w:b/>
          <w:bCs/>
          <w:lang w:val="en-US"/>
        </w:rPr>
      </w:pPr>
      <w:r w:rsidRPr="009B6FDA">
        <w:rPr>
          <w:b/>
          <w:bCs/>
          <w:lang w:val="en-US"/>
        </w:rPr>
        <w:t>4.1. Airflow</w:t>
      </w:r>
    </w:p>
    <w:p w14:paraId="56E908F2" w14:textId="39034C8D" w:rsidR="00A86FF3" w:rsidRDefault="00A86FF3">
      <w:pPr>
        <w:rPr>
          <w:lang w:val="en-US"/>
        </w:rPr>
      </w:pPr>
    </w:p>
    <w:p w14:paraId="4E9C96B0" w14:textId="146A2C2D" w:rsidR="009B6FDA" w:rsidRPr="009B6FDA" w:rsidRDefault="009B6FDA" w:rsidP="009B6FDA">
      <w:pPr>
        <w:autoSpaceDE w:val="0"/>
        <w:autoSpaceDN w:val="0"/>
        <w:adjustRightInd w:val="0"/>
        <w:rPr>
          <w:lang w:val="en-US"/>
        </w:rPr>
      </w:pPr>
      <w:r w:rsidRPr="009B6FDA">
        <w:rPr>
          <w:rFonts w:ascii="Times New Roman" w:hAnsi="Times New Roman" w:cs="Times New Roman"/>
          <w:sz w:val="20"/>
          <w:szCs w:val="20"/>
          <w:lang w:val="en-US"/>
        </w:rPr>
        <w:t>When the velopharyngeal port is open during speech, under normal conditions</w:t>
      </w:r>
      <w:r w:rsidRPr="009B6FD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B6FDA">
        <w:rPr>
          <w:rFonts w:ascii="Times New Roman" w:hAnsi="Times New Roman" w:cs="Times New Roman"/>
          <w:sz w:val="20"/>
          <w:szCs w:val="20"/>
          <w:lang w:val="en-US"/>
        </w:rPr>
        <w:t>air flows through the nose. In speakers without velopharyngeal abnormalities, the</w:t>
      </w:r>
      <w:r w:rsidRPr="009B6FD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B6FDA">
        <w:rPr>
          <w:rFonts w:ascii="Times New Roman" w:hAnsi="Times New Roman" w:cs="Times New Roman"/>
          <w:sz w:val="20"/>
          <w:szCs w:val="20"/>
          <w:lang w:val="en-US"/>
        </w:rPr>
        <w:t>volume of air that flows through the nasal cavities is related to the size of the</w:t>
      </w:r>
      <w:r w:rsidRPr="009B6FD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B6FDA">
        <w:rPr>
          <w:rFonts w:ascii="Times New Roman" w:hAnsi="Times New Roman" w:cs="Times New Roman"/>
          <w:sz w:val="20"/>
          <w:szCs w:val="20"/>
          <w:lang w:val="en-US"/>
        </w:rPr>
        <w:t>velopharyngeal opening. Thus, nasal airflow is an indicator of velopharyngeal</w:t>
      </w:r>
      <w:r w:rsidRPr="009B6FD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B6FDA">
        <w:rPr>
          <w:rFonts w:ascii="Times New Roman" w:hAnsi="Times New Roman" w:cs="Times New Roman"/>
          <w:sz w:val="20"/>
          <w:szCs w:val="20"/>
          <w:lang w:val="en-US"/>
        </w:rPr>
        <w:t>function in normal subjects and may be used to gain insight into the linguistic and</w:t>
      </w:r>
      <w:r w:rsidRPr="009B6FD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B6FDA">
        <w:rPr>
          <w:rFonts w:ascii="Times New Roman" w:hAnsi="Times New Roman" w:cs="Times New Roman"/>
          <w:sz w:val="20"/>
          <w:szCs w:val="20"/>
          <w:lang w:val="en-US"/>
        </w:rPr>
        <w:t xml:space="preserve">physiological factors affecting normal velopharyngeal function (see, e.g., </w:t>
      </w:r>
      <w:proofErr w:type="spellStart"/>
      <w:r w:rsidRPr="009B6FDA">
        <w:rPr>
          <w:rFonts w:ascii="Times New Roman" w:hAnsi="Times New Roman" w:cs="Times New Roman"/>
          <w:sz w:val="20"/>
          <w:szCs w:val="20"/>
          <w:lang w:val="en-US"/>
        </w:rPr>
        <w:t>Benguerel</w:t>
      </w:r>
      <w:proofErr w:type="spellEnd"/>
      <w:r w:rsidRPr="009B6FDA">
        <w:rPr>
          <w:rFonts w:ascii="Times New Roman" w:hAnsi="Times New Roman" w:cs="Times New Roman"/>
          <w:sz w:val="20"/>
          <w:szCs w:val="20"/>
          <w:lang w:val="en-US"/>
        </w:rPr>
        <w:t>,</w:t>
      </w:r>
      <w:r w:rsidRPr="009B6FD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B6FDA">
        <w:rPr>
          <w:rFonts w:ascii="Times New Roman" w:hAnsi="Times New Roman" w:cs="Times New Roman"/>
          <w:sz w:val="20"/>
          <w:szCs w:val="20"/>
          <w:lang w:val="en-US"/>
        </w:rPr>
        <w:t>1974; Cohn 1990, this volume; Huffman, 1989, this volume). Moreover,</w:t>
      </w:r>
      <w:r w:rsidRPr="009B6FD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B6FDA">
        <w:rPr>
          <w:rFonts w:ascii="Times New Roman" w:hAnsi="Times New Roman" w:cs="Times New Roman"/>
          <w:sz w:val="20"/>
          <w:szCs w:val="20"/>
          <w:lang w:val="en-US"/>
        </w:rPr>
        <w:t>speakers with velopharyngeal abnormalities or neuromuscular pathologies may</w:t>
      </w:r>
      <w:r w:rsidRPr="009B6FD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B6FDA">
        <w:rPr>
          <w:rFonts w:ascii="Times New Roman" w:hAnsi="Times New Roman" w:cs="Times New Roman"/>
          <w:sz w:val="20"/>
          <w:szCs w:val="20"/>
          <w:lang w:val="en-US"/>
        </w:rPr>
        <w:t>show patterns of nasal airflow that are different from those observed on comparable</w:t>
      </w:r>
      <w:r w:rsidRPr="009B6FD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B6FDA">
        <w:rPr>
          <w:rFonts w:ascii="Times New Roman" w:hAnsi="Times New Roman" w:cs="Times New Roman"/>
          <w:sz w:val="20"/>
          <w:szCs w:val="20"/>
          <w:lang w:val="en-US"/>
        </w:rPr>
        <w:t>speech items for normal subjects. For this reason, airflow data are often used</w:t>
      </w:r>
      <w:r w:rsidRPr="009B6FD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B6FDA">
        <w:rPr>
          <w:rFonts w:ascii="Times New Roman" w:hAnsi="Times New Roman" w:cs="Times New Roman"/>
          <w:sz w:val="20"/>
          <w:szCs w:val="20"/>
          <w:lang w:val="en-US"/>
        </w:rPr>
        <w:t>in the diagnosis and evaluation of conditions involving both excessive nasal resonance</w:t>
      </w:r>
      <w:r w:rsidRPr="009B6FD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B6FDA">
        <w:rPr>
          <w:rFonts w:ascii="Times New Roman" w:hAnsi="Times New Roman" w:cs="Times New Roman"/>
          <w:sz w:val="20"/>
          <w:szCs w:val="20"/>
          <w:lang w:val="en-US"/>
        </w:rPr>
        <w:t>(hypernasality) and insufficient nasal resonance (</w:t>
      </w:r>
      <w:proofErr w:type="spellStart"/>
      <w:r w:rsidRPr="009B6FDA">
        <w:rPr>
          <w:rFonts w:ascii="Times New Roman" w:hAnsi="Times New Roman" w:cs="Times New Roman"/>
          <w:sz w:val="20"/>
          <w:szCs w:val="20"/>
          <w:lang w:val="en-US"/>
        </w:rPr>
        <w:t>hyponasality</w:t>
      </w:r>
      <w:proofErr w:type="spellEnd"/>
      <w:r w:rsidRPr="009B6FDA">
        <w:rPr>
          <w:rFonts w:ascii="Times New Roman" w:hAnsi="Times New Roman" w:cs="Times New Roman"/>
          <w:sz w:val="20"/>
          <w:szCs w:val="20"/>
          <w:lang w:val="en-US"/>
        </w:rPr>
        <w:t>), as discussed</w:t>
      </w:r>
      <w:r w:rsidRPr="009B6FD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B6FDA">
        <w:rPr>
          <w:rFonts w:ascii="Times New Roman" w:hAnsi="Times New Roman" w:cs="Times New Roman"/>
          <w:sz w:val="20"/>
          <w:szCs w:val="20"/>
          <w:lang w:val="en-US"/>
        </w:rPr>
        <w:t>in Warren, Dalston, and Mayo (this volume).</w:t>
      </w:r>
    </w:p>
    <w:p w14:paraId="07DDE6FD" w14:textId="77777777" w:rsidR="009B6FDA" w:rsidRPr="00A86FF3" w:rsidRDefault="009B6FDA">
      <w:pPr>
        <w:rPr>
          <w:lang w:val="en-US"/>
        </w:rPr>
      </w:pPr>
    </w:p>
    <w:sectPr w:rsidR="009B6FDA" w:rsidRPr="00A86F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E40"/>
    <w:rsid w:val="009B6FDA"/>
    <w:rsid w:val="00A86FF3"/>
    <w:rsid w:val="00CF1DA2"/>
    <w:rsid w:val="00E53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AC5981"/>
  <w15:chartTrackingRefBased/>
  <w15:docId w15:val="{37F4B1E5-C6C2-4746-94AE-BABA210C3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287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Moreno Torres Sanchez</dc:creator>
  <cp:keywords/>
  <dc:description/>
  <cp:lastModifiedBy>Ignacio Moreno Torres Sanchez</cp:lastModifiedBy>
  <cp:revision>3</cp:revision>
  <dcterms:created xsi:type="dcterms:W3CDTF">2021-12-13T09:46:00Z</dcterms:created>
  <dcterms:modified xsi:type="dcterms:W3CDTF">2021-12-13T14:23:00Z</dcterms:modified>
</cp:coreProperties>
</file>