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A86328" w14:textId="3B3BD213" w:rsidR="0056534E" w:rsidRPr="009342BD" w:rsidRDefault="0056534E" w:rsidP="0056534E">
      <w:pPr>
        <w:pStyle w:val="Heading1"/>
        <w:numPr>
          <w:ilvl w:val="0"/>
          <w:numId w:val="0"/>
        </w:numPr>
        <w:spacing w:before="100" w:after="100" w:line="360" w:lineRule="exact"/>
        <w:ind w:left="432" w:hanging="432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GoBack"/>
      <w:bookmarkEnd w:id="0"/>
      <w:r w:rsidRPr="009342BD">
        <w:rPr>
          <w:rFonts w:ascii="Times New Roman" w:hAnsi="Times New Roman" w:cs="Times New Roman"/>
          <w:b/>
          <w:color w:val="auto"/>
          <w:sz w:val="24"/>
          <w:szCs w:val="24"/>
        </w:rPr>
        <w:t>Appendix 1: Data Description</w:t>
      </w:r>
    </w:p>
    <w:p w14:paraId="6555C352" w14:textId="5126D43C" w:rsidR="008F299C" w:rsidRPr="009342BD" w:rsidRDefault="008F299C" w:rsidP="0056534E">
      <w:pPr>
        <w:spacing w:beforeLines="100" w:before="240" w:afterLines="100" w:after="240" w:line="360" w:lineRule="exact"/>
        <w:jc w:val="both"/>
      </w:pPr>
      <w:r w:rsidRPr="009342BD">
        <w:t>The data used in this paper come from a variety of sources.</w:t>
      </w:r>
    </w:p>
    <w:p w14:paraId="2C767206" w14:textId="27239C0A" w:rsidR="00777682" w:rsidRPr="009342BD" w:rsidRDefault="00D84264" w:rsidP="00BB4D53">
      <w:pPr>
        <w:pStyle w:val="ListParagraph"/>
        <w:numPr>
          <w:ilvl w:val="0"/>
          <w:numId w:val="2"/>
        </w:numPr>
        <w:spacing w:beforeLines="100" w:before="240" w:afterLines="100" w:after="240" w:line="360" w:lineRule="exact"/>
        <w:jc w:val="both"/>
      </w:pPr>
      <w:r w:rsidRPr="009342BD">
        <w:t>GDP per capita</w:t>
      </w:r>
      <w:r w:rsidR="002F02B4" w:rsidRPr="009342BD">
        <w:t xml:space="preserve"> </w:t>
      </w:r>
    </w:p>
    <w:p w14:paraId="77B4ECA2" w14:textId="1C25FA76" w:rsidR="005C488F" w:rsidRPr="009342BD" w:rsidRDefault="00C17D34" w:rsidP="008F299C">
      <w:pPr>
        <w:spacing w:beforeLines="100" w:before="240" w:afterLines="100" w:after="240" w:line="360" w:lineRule="exact"/>
        <w:ind w:left="360"/>
        <w:jc w:val="both"/>
      </w:pPr>
      <w:r w:rsidRPr="009342BD">
        <w:t xml:space="preserve">GDP per capita </w:t>
      </w:r>
      <w:r w:rsidR="00EC145C" w:rsidRPr="009342BD">
        <w:t>is measured</w:t>
      </w:r>
      <w:r w:rsidRPr="009342BD">
        <w:t xml:space="preserve"> in 2010 US dollars</w:t>
      </w:r>
      <w:r w:rsidR="008F299C" w:rsidRPr="009342BD">
        <w:t xml:space="preserve"> at constant prices</w:t>
      </w:r>
      <w:r w:rsidRPr="009342BD">
        <w:t xml:space="preserve">, </w:t>
      </w:r>
      <w:r w:rsidR="005C488F" w:rsidRPr="009342BD">
        <w:t xml:space="preserve">published by the </w:t>
      </w:r>
      <w:r w:rsidR="005C488F" w:rsidRPr="009342BD">
        <w:rPr>
          <w:i/>
          <w:iCs/>
        </w:rPr>
        <w:t>World Bank national accounts data</w:t>
      </w:r>
      <w:r w:rsidR="005C488F" w:rsidRPr="009342BD">
        <w:t xml:space="preserve">, and </w:t>
      </w:r>
      <w:r w:rsidR="005C488F" w:rsidRPr="009342BD">
        <w:rPr>
          <w:i/>
          <w:iCs/>
        </w:rPr>
        <w:t>OECD National Accounts data files</w:t>
      </w:r>
      <w:r w:rsidR="005C488F" w:rsidRPr="009342BD">
        <w:t xml:space="preserve">, available </w:t>
      </w:r>
      <w:r w:rsidR="008F299C" w:rsidRPr="009342BD">
        <w:t>at</w:t>
      </w:r>
      <w:r w:rsidR="005C488F" w:rsidRPr="009342BD">
        <w:t>:</w:t>
      </w:r>
    </w:p>
    <w:p w14:paraId="48ED1D62" w14:textId="2B51DA30" w:rsidR="00777682" w:rsidRPr="009342BD" w:rsidRDefault="00193430" w:rsidP="008F299C">
      <w:pPr>
        <w:spacing w:beforeLines="100" w:before="240" w:afterLines="100" w:after="240" w:line="360" w:lineRule="exact"/>
        <w:ind w:left="360"/>
        <w:jc w:val="both"/>
      </w:pPr>
      <w:hyperlink r:id="rId12" w:history="1">
        <w:r w:rsidR="00824F39" w:rsidRPr="00F44D6F">
          <w:rPr>
            <w:rStyle w:val="Hyperlink"/>
          </w:rPr>
          <w:t>https://data.worldbank.org/indicator/NY.GDP.PCAP.KD?view=chart</w:t>
        </w:r>
      </w:hyperlink>
    </w:p>
    <w:p w14:paraId="4B4339AD" w14:textId="306273CA" w:rsidR="00D63BCF" w:rsidRPr="009342BD" w:rsidRDefault="00285415" w:rsidP="00BB4D53">
      <w:pPr>
        <w:pStyle w:val="ListParagraph"/>
        <w:numPr>
          <w:ilvl w:val="0"/>
          <w:numId w:val="2"/>
        </w:numPr>
        <w:spacing w:beforeLines="100" w:before="240" w:afterLines="100" w:after="240" w:line="360" w:lineRule="exact"/>
        <w:jc w:val="both"/>
      </w:pPr>
      <w:r w:rsidRPr="009342BD">
        <w:t xml:space="preserve">Human capital return </w:t>
      </w:r>
    </w:p>
    <w:p w14:paraId="668670FE" w14:textId="00B56853" w:rsidR="00562E59" w:rsidRPr="009342BD" w:rsidRDefault="00D63BCF" w:rsidP="008F299C">
      <w:pPr>
        <w:spacing w:beforeLines="100" w:before="240" w:afterLines="100" w:after="240" w:line="360" w:lineRule="exact"/>
        <w:ind w:left="360"/>
        <w:jc w:val="both"/>
      </w:pPr>
      <w:r w:rsidRPr="009342BD">
        <w:t>Human capital return is calibrated by the return to another year of schooling based on</w:t>
      </w:r>
      <w:r w:rsidR="002532F6" w:rsidRPr="009342BD">
        <w:t xml:space="preserve"> the Annex Table 1 in </w:t>
      </w:r>
      <w:r w:rsidRPr="009342BD">
        <w:t xml:space="preserve">Montenegro &amp; </w:t>
      </w:r>
      <w:proofErr w:type="spellStart"/>
      <w:r w:rsidRPr="009342BD">
        <w:t>Patrinos</w:t>
      </w:r>
      <w:proofErr w:type="spellEnd"/>
      <w:r w:rsidRPr="009342BD">
        <w:t xml:space="preserve"> (2014)</w:t>
      </w:r>
      <w:r w:rsidR="00562E59" w:rsidRPr="009342BD">
        <w:t xml:space="preserve"> published by the </w:t>
      </w:r>
      <w:r w:rsidR="00562E59" w:rsidRPr="009342BD">
        <w:rPr>
          <w:i/>
          <w:iCs/>
        </w:rPr>
        <w:t>World Bank Education Global Practice Group</w:t>
      </w:r>
      <w:r w:rsidR="00562E59" w:rsidRPr="009342BD">
        <w:t xml:space="preserve">, available </w:t>
      </w:r>
      <w:r w:rsidR="008F299C" w:rsidRPr="009342BD">
        <w:t>at</w:t>
      </w:r>
      <w:r w:rsidR="00562E59" w:rsidRPr="009342BD">
        <w:t>:</w:t>
      </w:r>
      <w:r w:rsidR="000A7FFE" w:rsidRPr="009342BD">
        <w:t xml:space="preserve"> </w:t>
      </w:r>
      <w:hyperlink r:id="rId13" w:history="1">
        <w:r w:rsidR="005D204E" w:rsidRPr="009342BD">
          <w:rPr>
            <w:rStyle w:val="Hyperlink"/>
            <w:color w:val="auto"/>
          </w:rPr>
          <w:t>http://econ.worldbank.org</w:t>
        </w:r>
      </w:hyperlink>
    </w:p>
    <w:p w14:paraId="642CA6A1" w14:textId="4E54532F" w:rsidR="005D204E" w:rsidRPr="009342BD" w:rsidRDefault="008B13AC" w:rsidP="00BB4D53">
      <w:pPr>
        <w:pStyle w:val="ListParagraph"/>
        <w:numPr>
          <w:ilvl w:val="0"/>
          <w:numId w:val="2"/>
        </w:numPr>
        <w:spacing w:beforeLines="100" w:before="240" w:afterLines="100" w:after="240" w:line="360" w:lineRule="exact"/>
        <w:jc w:val="both"/>
      </w:pPr>
      <w:r w:rsidRPr="009342BD">
        <w:t xml:space="preserve">Personal income tax </w:t>
      </w:r>
      <w:r w:rsidR="008F299C" w:rsidRPr="009342BD">
        <w:t>allowance</w:t>
      </w:r>
    </w:p>
    <w:p w14:paraId="55235A49" w14:textId="28A66BF0" w:rsidR="00A702C1" w:rsidRPr="009342BD" w:rsidRDefault="00E30003" w:rsidP="008F299C">
      <w:pPr>
        <w:spacing w:beforeLines="100" w:before="240" w:afterLines="100" w:after="240" w:line="360" w:lineRule="exact"/>
        <w:ind w:left="360"/>
        <w:jc w:val="both"/>
      </w:pPr>
      <w:r w:rsidRPr="009342BD">
        <w:t>The</w:t>
      </w:r>
      <w:r w:rsidR="00E11784" w:rsidRPr="009342BD">
        <w:t xml:space="preserve"> personal income tax </w:t>
      </w:r>
      <w:r w:rsidR="008F299C" w:rsidRPr="009342BD">
        <w:t>allowance</w:t>
      </w:r>
      <w:r w:rsidR="00E11784" w:rsidRPr="009342BD">
        <w:t xml:space="preserve"> </w:t>
      </w:r>
      <w:r w:rsidRPr="009342BD">
        <w:t xml:space="preserve">is calculated by the sum of </w:t>
      </w:r>
      <w:r w:rsidR="00124AA8" w:rsidRPr="009342BD">
        <w:t xml:space="preserve">the </w:t>
      </w:r>
      <w:r w:rsidRPr="009342BD">
        <w:t xml:space="preserve">threshold of </w:t>
      </w:r>
      <w:r w:rsidR="005E7366" w:rsidRPr="009342BD">
        <w:t xml:space="preserve">annual </w:t>
      </w:r>
      <w:r w:rsidRPr="009342BD">
        <w:t xml:space="preserve">personal income tax plus </w:t>
      </w:r>
      <w:r w:rsidR="005E7366" w:rsidRPr="009342BD">
        <w:t xml:space="preserve">annual </w:t>
      </w:r>
      <w:r w:rsidRPr="009342BD">
        <w:t>personal deduction</w:t>
      </w:r>
      <w:r w:rsidR="0020195F" w:rsidRPr="009342BD">
        <w:t>s</w:t>
      </w:r>
      <w:r w:rsidR="00A702C1" w:rsidRPr="009342BD">
        <w:t xml:space="preserve">, transferred by the average foreign exchange rate against the US dollars in 2016. </w:t>
      </w:r>
      <w:r w:rsidR="0096328E" w:rsidRPr="009342BD">
        <w:t>Sources of the tax information in each country are listed below.</w:t>
      </w:r>
    </w:p>
    <w:p w14:paraId="1D372A94" w14:textId="3BBF3DC6" w:rsidR="00AE3A84" w:rsidRPr="009342BD" w:rsidRDefault="0096328E" w:rsidP="008F299C">
      <w:pPr>
        <w:spacing w:beforeLines="100" w:before="240" w:afterLines="100" w:after="240" w:line="360" w:lineRule="exact"/>
        <w:ind w:left="720"/>
        <w:jc w:val="both"/>
      </w:pPr>
      <w:r w:rsidRPr="009342BD">
        <w:t>Canada:</w:t>
      </w:r>
      <w:r w:rsidR="000D55E7" w:rsidRPr="009342BD">
        <w:t xml:space="preserve"> </w:t>
      </w:r>
      <w:r w:rsidR="00235FE8" w:rsidRPr="009342BD">
        <w:rPr>
          <w:i/>
          <w:iCs/>
        </w:rPr>
        <w:t>Government of Canada</w:t>
      </w:r>
      <w:r w:rsidR="00024D95" w:rsidRPr="009342BD">
        <w:t>,</w:t>
      </w:r>
      <w:r w:rsidR="00AE3A84" w:rsidRPr="009342BD">
        <w:t xml:space="preserve"> available </w:t>
      </w:r>
      <w:r w:rsidR="008F299C" w:rsidRPr="009342BD">
        <w:t>at</w:t>
      </w:r>
      <w:r w:rsidR="00AE3A84" w:rsidRPr="009342BD">
        <w:t>:</w:t>
      </w:r>
    </w:p>
    <w:p w14:paraId="4112FB46" w14:textId="4A6FF1EC" w:rsidR="0096328E" w:rsidRPr="009342BD" w:rsidRDefault="00193430" w:rsidP="008F299C">
      <w:pPr>
        <w:spacing w:beforeLines="100" w:before="240" w:afterLines="100" w:after="240" w:line="360" w:lineRule="exact"/>
        <w:ind w:left="720"/>
        <w:jc w:val="both"/>
      </w:pPr>
      <w:hyperlink r:id="rId14" w:history="1">
        <w:r w:rsidR="005C69A5" w:rsidRPr="009342BD">
          <w:rPr>
            <w:rStyle w:val="Hyperlink"/>
            <w:color w:val="auto"/>
          </w:rPr>
          <w:t>https://www.canada.ca/en/revenue-agency/news/newsroom/fact-sheets/fact-sheets-2015/2016-indexation-adjustment-personal-income-tax-benefit-amounts.html</w:t>
        </w:r>
      </w:hyperlink>
    </w:p>
    <w:p w14:paraId="159C0EF2" w14:textId="22DA939E" w:rsidR="00AE3FA8" w:rsidRPr="009342BD" w:rsidRDefault="00D6300F" w:rsidP="008F299C">
      <w:pPr>
        <w:spacing w:beforeLines="100" w:before="240" w:afterLines="100" w:after="240" w:line="360" w:lineRule="exact"/>
        <w:ind w:left="720"/>
        <w:jc w:val="both"/>
      </w:pPr>
      <w:r w:rsidRPr="009342BD">
        <w:t>China</w:t>
      </w:r>
      <w:r w:rsidR="0096328E" w:rsidRPr="009342BD">
        <w:t xml:space="preserve">: </w:t>
      </w:r>
      <w:r w:rsidR="00283F71" w:rsidRPr="009342BD">
        <w:rPr>
          <w:i/>
          <w:iCs/>
        </w:rPr>
        <w:t>Ministry of Finance</w:t>
      </w:r>
      <w:r w:rsidR="00797ED3" w:rsidRPr="009342BD">
        <w:rPr>
          <w:i/>
          <w:iCs/>
        </w:rPr>
        <w:t xml:space="preserve"> of the People’s Republic of China</w:t>
      </w:r>
      <w:r w:rsidR="00797ED3" w:rsidRPr="009342BD">
        <w:t>,</w:t>
      </w:r>
      <w:r w:rsidR="00AE3FA8" w:rsidRPr="009342BD">
        <w:t xml:space="preserve"> available </w:t>
      </w:r>
      <w:r w:rsidR="008F299C" w:rsidRPr="009342BD">
        <w:t>at</w:t>
      </w:r>
      <w:r w:rsidR="00AE3FA8" w:rsidRPr="009342BD">
        <w:t>:</w:t>
      </w:r>
    </w:p>
    <w:p w14:paraId="382DC4A1" w14:textId="43A0C64C" w:rsidR="00D6300F" w:rsidRPr="009342BD" w:rsidRDefault="00193430" w:rsidP="008F299C">
      <w:pPr>
        <w:spacing w:beforeLines="100" w:before="240" w:afterLines="100" w:after="240" w:line="360" w:lineRule="exact"/>
        <w:ind w:left="720"/>
        <w:jc w:val="both"/>
      </w:pPr>
      <w:hyperlink r:id="rId15" w:history="1">
        <w:r w:rsidR="00AE3FA8" w:rsidRPr="009342BD">
          <w:rPr>
            <w:rStyle w:val="Hyperlink"/>
            <w:color w:val="auto"/>
          </w:rPr>
          <w:t>http://szs.mof.gov.cn/shuizhijianjie/200806/t20080630_54460.htm</w:t>
        </w:r>
      </w:hyperlink>
    </w:p>
    <w:p w14:paraId="51A3B4B6" w14:textId="5F0B9007" w:rsidR="00AE3FA8" w:rsidRPr="009342BD" w:rsidRDefault="0096328E" w:rsidP="008F299C">
      <w:pPr>
        <w:spacing w:beforeLines="100" w:before="240" w:afterLines="100" w:after="240" w:line="360" w:lineRule="exact"/>
        <w:ind w:firstLine="720"/>
        <w:jc w:val="both"/>
      </w:pPr>
      <w:r w:rsidRPr="009342BD">
        <w:t>France</w:t>
      </w:r>
      <w:r w:rsidR="00976D3E" w:rsidRPr="009342BD">
        <w:t>, Germany, Italy, US</w:t>
      </w:r>
      <w:r w:rsidRPr="009342BD">
        <w:t>:</w:t>
      </w:r>
      <w:r w:rsidR="000D55E7" w:rsidRPr="009342BD">
        <w:t xml:space="preserve"> </w:t>
      </w:r>
      <w:r w:rsidR="00334B45" w:rsidRPr="009342BD">
        <w:rPr>
          <w:i/>
          <w:iCs/>
        </w:rPr>
        <w:t>Taxing Wages 2017 published by</w:t>
      </w:r>
      <w:r w:rsidR="00334B45" w:rsidRPr="009342BD">
        <w:t xml:space="preserve"> </w:t>
      </w:r>
      <w:r w:rsidR="00DD12AD" w:rsidRPr="009342BD">
        <w:rPr>
          <w:i/>
          <w:iCs/>
        </w:rPr>
        <w:t>OECD</w:t>
      </w:r>
      <w:r w:rsidR="00DD12AD" w:rsidRPr="009342BD">
        <w:t>,</w:t>
      </w:r>
      <w:r w:rsidR="00184314" w:rsidRPr="009342BD">
        <w:t xml:space="preserve"> available </w:t>
      </w:r>
      <w:r w:rsidR="008F299C" w:rsidRPr="009342BD">
        <w:t>at</w:t>
      </w:r>
      <w:r w:rsidR="00184314" w:rsidRPr="009342BD">
        <w:t>:</w:t>
      </w:r>
    </w:p>
    <w:p w14:paraId="1A741034" w14:textId="09E43591" w:rsidR="00D6300F" w:rsidRPr="009342BD" w:rsidRDefault="00193430" w:rsidP="008F299C">
      <w:pPr>
        <w:spacing w:beforeLines="100" w:before="240" w:afterLines="100" w:after="240" w:line="360" w:lineRule="exact"/>
        <w:ind w:firstLine="720"/>
        <w:jc w:val="both"/>
      </w:pPr>
      <w:hyperlink r:id="rId16" w:history="1">
        <w:r w:rsidR="00AE3A84" w:rsidRPr="009342BD">
          <w:rPr>
            <w:rStyle w:val="Hyperlink"/>
            <w:color w:val="auto"/>
          </w:rPr>
          <w:t>https://www.oecd-ilibrary.org/taxation/taxing-wages-2017_tax_wages-2017-en</w:t>
        </w:r>
      </w:hyperlink>
    </w:p>
    <w:p w14:paraId="6E82D51D" w14:textId="5D06AA1A" w:rsidR="00AE3FA8" w:rsidRPr="009342BD" w:rsidRDefault="00DB2631" w:rsidP="008F299C">
      <w:pPr>
        <w:spacing w:beforeLines="100" w:before="240" w:afterLines="100" w:after="240" w:line="360" w:lineRule="exact"/>
        <w:ind w:left="720"/>
        <w:jc w:val="both"/>
      </w:pPr>
      <w:r w:rsidRPr="009342BD">
        <w:t>Japan</w:t>
      </w:r>
      <w:r w:rsidR="0096328E" w:rsidRPr="009342BD">
        <w:t>:</w:t>
      </w:r>
      <w:r w:rsidR="006E41FC" w:rsidRPr="009342BD">
        <w:t xml:space="preserve"> </w:t>
      </w:r>
      <w:r w:rsidR="006E41FC" w:rsidRPr="009342BD">
        <w:rPr>
          <w:i/>
          <w:iCs/>
        </w:rPr>
        <w:t>Ministry of Finance Japan</w:t>
      </w:r>
      <w:r w:rsidR="0096328E" w:rsidRPr="009342BD">
        <w:t>,</w:t>
      </w:r>
      <w:r w:rsidR="001E5D43" w:rsidRPr="009342BD">
        <w:t xml:space="preserve"> available </w:t>
      </w:r>
      <w:r w:rsidR="008F299C" w:rsidRPr="009342BD">
        <w:t>at</w:t>
      </w:r>
      <w:r w:rsidR="001E5D43" w:rsidRPr="009342BD">
        <w:t>:</w:t>
      </w:r>
    </w:p>
    <w:p w14:paraId="22FD78F9" w14:textId="12E7BAFE" w:rsidR="00777682" w:rsidRPr="009342BD" w:rsidRDefault="00193430" w:rsidP="008F299C">
      <w:pPr>
        <w:spacing w:beforeLines="100" w:before="240" w:afterLines="100" w:after="240" w:line="360" w:lineRule="exact"/>
        <w:ind w:firstLine="720"/>
        <w:jc w:val="both"/>
      </w:pPr>
      <w:hyperlink r:id="rId17" w:history="1">
        <w:r w:rsidR="00AE3FA8" w:rsidRPr="009342BD">
          <w:rPr>
            <w:rStyle w:val="Hyperlink"/>
            <w:color w:val="auto"/>
          </w:rPr>
          <w:t>https://www.mof.go.jp/english/tax_policy/tax_system/income/index.html</w:t>
        </w:r>
      </w:hyperlink>
    </w:p>
    <w:p w14:paraId="1102AAF3" w14:textId="31BC288D" w:rsidR="005C69A5" w:rsidRPr="009342BD" w:rsidRDefault="00102FAF" w:rsidP="008F299C">
      <w:pPr>
        <w:spacing w:beforeLines="100" w:before="240" w:afterLines="100" w:after="240" w:line="360" w:lineRule="exact"/>
        <w:ind w:firstLine="720"/>
        <w:jc w:val="both"/>
      </w:pPr>
      <w:r w:rsidRPr="009342BD">
        <w:t xml:space="preserve">UK: </w:t>
      </w:r>
      <w:r w:rsidR="00BC59BE" w:rsidRPr="009342BD">
        <w:rPr>
          <w:i/>
          <w:iCs/>
        </w:rPr>
        <w:t>GOV.UK</w:t>
      </w:r>
      <w:r w:rsidR="00BC59BE" w:rsidRPr="009342BD">
        <w:t>,</w:t>
      </w:r>
      <w:r w:rsidR="005C69A5" w:rsidRPr="009342BD">
        <w:t xml:space="preserve"> available </w:t>
      </w:r>
      <w:r w:rsidR="008F299C" w:rsidRPr="009342BD">
        <w:t>at</w:t>
      </w:r>
      <w:r w:rsidR="005C69A5" w:rsidRPr="009342BD">
        <w:t>:</w:t>
      </w:r>
    </w:p>
    <w:p w14:paraId="080FA9E5" w14:textId="5EFD6868" w:rsidR="00DB2631" w:rsidRPr="009342BD" w:rsidRDefault="00193430" w:rsidP="008F299C">
      <w:pPr>
        <w:spacing w:beforeLines="100" w:before="240" w:afterLines="100" w:after="240" w:line="360" w:lineRule="exact"/>
        <w:ind w:left="720"/>
        <w:jc w:val="both"/>
      </w:pPr>
      <w:hyperlink r:id="rId18" w:history="1">
        <w:r w:rsidR="000C48C7" w:rsidRPr="009342BD">
          <w:rPr>
            <w:rStyle w:val="Hyperlink"/>
            <w:color w:val="auto"/>
          </w:rPr>
          <w:t>https://www.gov.uk/government/publications/rates-and-allowances-income-tax/income-tax-rates-and-allowances-current-and-past</w:t>
        </w:r>
      </w:hyperlink>
    </w:p>
    <w:p w14:paraId="62E11167" w14:textId="1A6C7D12" w:rsidR="00AA6145" w:rsidRPr="009342BD" w:rsidRDefault="00AA6145" w:rsidP="00BB4D53">
      <w:pPr>
        <w:pStyle w:val="ListParagraph"/>
        <w:numPr>
          <w:ilvl w:val="0"/>
          <w:numId w:val="2"/>
        </w:numPr>
        <w:spacing w:beforeLines="100" w:before="240" w:afterLines="100" w:after="240" w:line="360" w:lineRule="exact"/>
        <w:jc w:val="both"/>
      </w:pPr>
      <w:r w:rsidRPr="009342BD">
        <w:t>P</w:t>
      </w:r>
      <w:r w:rsidR="00684188" w:rsidRPr="009342BD">
        <w:t xml:space="preserve">overty line </w:t>
      </w:r>
    </w:p>
    <w:p w14:paraId="5FD66138" w14:textId="3A9B3838" w:rsidR="008F299C" w:rsidRPr="009342BD" w:rsidRDefault="00500755" w:rsidP="008F299C">
      <w:pPr>
        <w:spacing w:beforeLines="100" w:before="240" w:afterLines="100" w:after="240" w:line="360" w:lineRule="exact"/>
        <w:ind w:left="360"/>
        <w:jc w:val="both"/>
      </w:pPr>
      <w:r w:rsidRPr="009342BD">
        <w:t>T</w:t>
      </w:r>
      <w:r w:rsidR="00CB3E54" w:rsidRPr="009342BD">
        <w:t xml:space="preserve">he poverty </w:t>
      </w:r>
      <w:r w:rsidR="008C20C9" w:rsidRPr="009342BD">
        <w:t>line is</w:t>
      </w:r>
      <w:r w:rsidR="00EB49BC" w:rsidRPr="009342BD">
        <w:t xml:space="preserve"> computed following OECD </w:t>
      </w:r>
      <w:r w:rsidR="008F299C" w:rsidRPr="009342BD">
        <w:t xml:space="preserve">methodology, </w:t>
      </w:r>
      <w:r w:rsidR="00153542" w:rsidRPr="009342BD">
        <w:t xml:space="preserve">i.e., </w:t>
      </w:r>
      <w:r w:rsidR="00EB49BC" w:rsidRPr="009342BD">
        <w:t xml:space="preserve">the half of the median disposable household income. </w:t>
      </w:r>
      <w:r w:rsidR="008C20C9" w:rsidRPr="009342BD">
        <w:t>Data for G7 countries are collected in the OECD Data</w:t>
      </w:r>
      <w:r w:rsidR="003F787D" w:rsidRPr="009342BD">
        <w:t>base</w:t>
      </w:r>
      <w:r w:rsidR="008C20C9" w:rsidRPr="009342BD">
        <w:t xml:space="preserve">, available </w:t>
      </w:r>
      <w:r w:rsidR="008F299C" w:rsidRPr="009342BD">
        <w:t>at</w:t>
      </w:r>
      <w:r w:rsidR="008C20C9" w:rsidRPr="009342BD">
        <w:t xml:space="preserve">: </w:t>
      </w:r>
      <w:hyperlink r:id="rId19" w:history="1">
        <w:r w:rsidR="00105A7A" w:rsidRPr="009342BD">
          <w:rPr>
            <w:rStyle w:val="Hyperlink"/>
            <w:color w:val="auto"/>
          </w:rPr>
          <w:t>https://data.oecd.org/hha/household-disposable-income.htm</w:t>
        </w:r>
      </w:hyperlink>
      <w:r w:rsidR="00045DF9" w:rsidRPr="009342BD">
        <w:t xml:space="preserve"> </w:t>
      </w:r>
    </w:p>
    <w:p w14:paraId="41ECF675" w14:textId="77777777" w:rsidR="008F299C" w:rsidRPr="009342BD" w:rsidRDefault="009260DA" w:rsidP="008F299C">
      <w:pPr>
        <w:spacing w:beforeLines="100" w:before="240" w:afterLines="100" w:after="240" w:line="360" w:lineRule="exact"/>
        <w:ind w:left="360"/>
        <w:jc w:val="both"/>
      </w:pPr>
      <w:r w:rsidRPr="009342BD">
        <w:t xml:space="preserve">Data for China are from National Bureau of Statistics of China, available </w:t>
      </w:r>
      <w:r w:rsidR="008F299C" w:rsidRPr="009342BD">
        <w:t>at</w:t>
      </w:r>
      <w:r w:rsidRPr="009342BD">
        <w:t xml:space="preserve">: </w:t>
      </w:r>
    </w:p>
    <w:p w14:paraId="0C4E7C8D" w14:textId="6FC89F65" w:rsidR="004C4E19" w:rsidRPr="009342BD" w:rsidRDefault="00193430" w:rsidP="008F299C">
      <w:pPr>
        <w:spacing w:beforeLines="100" w:before="240" w:afterLines="100" w:after="240" w:line="360" w:lineRule="exact"/>
        <w:ind w:left="360"/>
        <w:jc w:val="both"/>
      </w:pPr>
      <w:hyperlink r:id="rId20" w:history="1">
        <w:r w:rsidR="008F299C" w:rsidRPr="009342BD">
          <w:rPr>
            <w:rStyle w:val="Hyperlink"/>
            <w:color w:val="auto"/>
          </w:rPr>
          <w:t>http://data.stats.gov.cn/easyquery.htm?cn=C01</w:t>
        </w:r>
      </w:hyperlink>
      <w:r w:rsidR="008F299C" w:rsidRPr="009342BD">
        <w:t xml:space="preserve"> </w:t>
      </w:r>
    </w:p>
    <w:p w14:paraId="5A1C60BB" w14:textId="597CC360" w:rsidR="008848D3" w:rsidRPr="009342BD" w:rsidRDefault="008848D3" w:rsidP="00BB4D53">
      <w:pPr>
        <w:pStyle w:val="ListParagraph"/>
        <w:numPr>
          <w:ilvl w:val="0"/>
          <w:numId w:val="2"/>
        </w:numPr>
        <w:spacing w:beforeLines="100" w:before="240" w:afterLines="100" w:after="240" w:line="360" w:lineRule="exact"/>
        <w:jc w:val="both"/>
      </w:pPr>
      <w:r w:rsidRPr="009342BD">
        <w:t xml:space="preserve">Marginal consumption propensity </w:t>
      </w:r>
    </w:p>
    <w:p w14:paraId="0D85E9E0" w14:textId="2550B506" w:rsidR="00105A7A" w:rsidRPr="009342BD" w:rsidRDefault="008F299C" w:rsidP="008F299C">
      <w:pPr>
        <w:spacing w:beforeLines="100" w:before="240" w:afterLines="100" w:after="240" w:line="360" w:lineRule="exact"/>
        <w:ind w:left="360"/>
        <w:jc w:val="both"/>
      </w:pPr>
      <w:r w:rsidRPr="009342BD">
        <w:t>It</w:t>
      </w:r>
      <w:r w:rsidR="00011434" w:rsidRPr="009342BD">
        <w:t xml:space="preserve"> is estimated from the consumption equation</w:t>
      </w:r>
      <w:r w:rsidR="007733CF" w:rsidRPr="009342BD">
        <w:t>, which is equal to the ratio of (</w:t>
      </w:r>
      <w:r w:rsidRPr="009342BD">
        <w:t>c</w:t>
      </w:r>
      <w:r w:rsidR="00D42574" w:rsidRPr="009342BD">
        <w:t xml:space="preserve">onsumption per capita – </w:t>
      </w:r>
      <w:r w:rsidRPr="009342BD">
        <w:t>p</w:t>
      </w:r>
      <w:r w:rsidR="00D42574" w:rsidRPr="009342BD">
        <w:t xml:space="preserve">overty line) </w:t>
      </w:r>
      <w:r w:rsidR="007733CF" w:rsidRPr="009342BD">
        <w:t>over</w:t>
      </w:r>
      <w:r w:rsidR="00D42574" w:rsidRPr="009342BD">
        <w:t xml:space="preserve"> </w:t>
      </w:r>
      <w:r w:rsidRPr="009342BD">
        <w:t>d</w:t>
      </w:r>
      <w:r w:rsidR="00D42574" w:rsidRPr="009342BD">
        <w:t>isposable income per capita</w:t>
      </w:r>
      <w:r w:rsidR="007733CF" w:rsidRPr="009342BD">
        <w:t xml:space="preserve">. </w:t>
      </w:r>
      <w:r w:rsidR="00F14407" w:rsidRPr="009342BD">
        <w:t>The data on household co</w:t>
      </w:r>
      <w:r w:rsidR="00F14407" w:rsidRPr="009342BD">
        <w:t>n</w:t>
      </w:r>
      <w:r w:rsidR="00F14407" w:rsidRPr="009342BD">
        <w:t>sumption per capita and disposable income per capita are collected from the OECD Dat</w:t>
      </w:r>
      <w:r w:rsidR="00F14407" w:rsidRPr="009342BD">
        <w:t>a</w:t>
      </w:r>
      <w:r w:rsidR="00036242" w:rsidRPr="009342BD">
        <w:t>base</w:t>
      </w:r>
      <w:r w:rsidR="003B6D02" w:rsidRPr="009342BD">
        <w:t>.</w:t>
      </w:r>
    </w:p>
    <w:p w14:paraId="367872E2" w14:textId="45DC144E" w:rsidR="004C22CC" w:rsidRPr="009342BD" w:rsidRDefault="004C22CC" w:rsidP="0056534E">
      <w:pPr>
        <w:spacing w:beforeLines="100" w:before="240" w:afterLines="100" w:after="240" w:line="360" w:lineRule="exact"/>
        <w:jc w:val="both"/>
      </w:pPr>
    </w:p>
    <w:p w14:paraId="1B602868" w14:textId="77777777" w:rsidR="004C22CC" w:rsidRPr="009342BD" w:rsidRDefault="004C22CC" w:rsidP="0056534E">
      <w:pPr>
        <w:spacing w:beforeLines="100" w:before="240" w:afterLines="100" w:after="240" w:line="360" w:lineRule="exact"/>
        <w:jc w:val="both"/>
        <w:sectPr w:rsidR="004C22CC" w:rsidRPr="009342BD">
          <w:footerReference w:type="default" r:id="rId2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FADE4B" w14:textId="4031EC2C" w:rsidR="004C22CC" w:rsidRPr="009342BD" w:rsidRDefault="004C22CC" w:rsidP="004C22CC">
      <w:pPr>
        <w:pStyle w:val="Heading1"/>
        <w:numPr>
          <w:ilvl w:val="0"/>
          <w:numId w:val="0"/>
        </w:numPr>
        <w:spacing w:before="100" w:after="100" w:line="360" w:lineRule="exact"/>
        <w:ind w:left="432" w:hanging="43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342B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Appendix 2:</w:t>
      </w:r>
      <w:r w:rsidR="00B8007C" w:rsidRPr="009342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Transition Matrices</w:t>
      </w:r>
    </w:p>
    <w:p w14:paraId="4E21E698" w14:textId="1786C90C" w:rsidR="00203E7D" w:rsidRPr="009342BD" w:rsidRDefault="00203E7D" w:rsidP="00203E7D">
      <w:pPr>
        <w:pStyle w:val="TableTitle"/>
        <w:framePr w:hSpace="0" w:wrap="auto" w:xAlign="left" w:yAlign="inline"/>
        <w:suppressOverlap w:val="0"/>
        <w:rPr>
          <w:i w:val="0"/>
          <w:iCs w:val="0"/>
        </w:rPr>
      </w:pPr>
      <w:bookmarkStart w:id="1" w:name="_Ref83116814"/>
      <w:bookmarkStart w:id="2" w:name="_Ref39673346"/>
      <w:r w:rsidRPr="009342BD">
        <w:rPr>
          <w:i w:val="0"/>
          <w:iCs w:val="0"/>
        </w:rPr>
        <w:t xml:space="preserve">Table </w:t>
      </w:r>
      <w:r w:rsidR="00C87043" w:rsidRPr="009342BD">
        <w:rPr>
          <w:i w:val="0"/>
          <w:iCs w:val="0"/>
        </w:rPr>
        <w:fldChar w:fldCharType="begin"/>
      </w:r>
      <w:r w:rsidR="00C87043" w:rsidRPr="009342BD">
        <w:rPr>
          <w:i w:val="0"/>
          <w:iCs w:val="0"/>
        </w:rPr>
        <w:instrText xml:space="preserve"> SEQ Table \* ARABIC </w:instrText>
      </w:r>
      <w:r w:rsidR="00C87043" w:rsidRPr="009342BD">
        <w:rPr>
          <w:i w:val="0"/>
          <w:iCs w:val="0"/>
        </w:rPr>
        <w:fldChar w:fldCharType="separate"/>
      </w:r>
      <w:r w:rsidR="00FB1CE7">
        <w:rPr>
          <w:i w:val="0"/>
          <w:iCs w:val="0"/>
          <w:noProof/>
        </w:rPr>
        <w:t>10</w:t>
      </w:r>
      <w:r w:rsidR="00C87043" w:rsidRPr="009342BD">
        <w:rPr>
          <w:i w:val="0"/>
          <w:iCs w:val="0"/>
        </w:rPr>
        <w:fldChar w:fldCharType="end"/>
      </w:r>
      <w:bookmarkEnd w:id="1"/>
      <w:r w:rsidRPr="009342BD">
        <w:rPr>
          <w:i w:val="0"/>
          <w:iCs w:val="0"/>
        </w:rPr>
        <w:t xml:space="preserve"> Social </w:t>
      </w:r>
      <w:r w:rsidR="00773576" w:rsidRPr="009342BD">
        <w:rPr>
          <w:i w:val="0"/>
          <w:iCs w:val="0"/>
        </w:rPr>
        <w:t>Mobility Transition Matrices of Thought Experiments</w:t>
      </w:r>
      <w:bookmarkEnd w:id="2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4FD78097" w14:textId="77777777" w:rsidTr="0021291C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0598464A" w14:textId="03E5C312" w:rsidR="00203E7D" w:rsidRPr="009342BD" w:rsidRDefault="00773576" w:rsidP="00607DB6">
            <w:pPr>
              <w:rPr>
                <w:b/>
              </w:rPr>
            </w:pPr>
            <w:r w:rsidRPr="009342BD">
              <w:rPr>
                <w:b/>
              </w:rPr>
              <w:t>Tax Model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3DCD3C08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0584CCC3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52AFFDC0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44A68F55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44D58EE3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1E8B9132" w14:textId="77777777" w:rsidTr="0021291C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196D10CD" w14:textId="1F697B92" w:rsidR="00203E7D" w:rsidRPr="009342BD" w:rsidRDefault="00203E7D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2A4A30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6CD260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CF9CE5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C2C5DF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DDD31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9342BD" w:rsidRPr="009342BD" w14:paraId="4AE9E7D1" w14:textId="77777777" w:rsidTr="0021291C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DF052" w14:textId="77777777" w:rsidR="00203E7D" w:rsidRPr="009342BD" w:rsidRDefault="00203E7D" w:rsidP="00607DB6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096CBB" w14:textId="77777777" w:rsidR="00203E7D" w:rsidRPr="009342BD" w:rsidRDefault="00203E7D" w:rsidP="00607DB6">
            <w:pPr>
              <w:jc w:val="center"/>
            </w:pPr>
            <w:r w:rsidRPr="009342BD">
              <w:t>46.5%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D0DFD" w14:textId="77777777" w:rsidR="00203E7D" w:rsidRPr="009342BD" w:rsidRDefault="00203E7D" w:rsidP="00607DB6">
            <w:pPr>
              <w:jc w:val="center"/>
            </w:pPr>
            <w:r w:rsidRPr="009342BD">
              <w:t>21.5%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02E6467" w14:textId="77777777" w:rsidR="00203E7D" w:rsidRPr="009342BD" w:rsidRDefault="00203E7D" w:rsidP="00607DB6">
            <w:pPr>
              <w:jc w:val="center"/>
            </w:pPr>
            <w:r w:rsidRPr="009342BD">
              <w:t>18.0%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CE6D75" w14:textId="77777777" w:rsidR="00203E7D" w:rsidRPr="009342BD" w:rsidRDefault="00203E7D" w:rsidP="00607DB6">
            <w:pPr>
              <w:jc w:val="center"/>
            </w:pPr>
            <w:r w:rsidRPr="009342BD">
              <w:t>9.0%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49D129" w14:textId="77777777" w:rsidR="00203E7D" w:rsidRPr="009342BD" w:rsidRDefault="00203E7D" w:rsidP="00607DB6">
            <w:pPr>
              <w:jc w:val="center"/>
            </w:pPr>
            <w:r w:rsidRPr="009342BD">
              <w:t>5.0%</w:t>
            </w:r>
          </w:p>
        </w:tc>
      </w:tr>
      <w:tr w:rsidR="009342BD" w:rsidRPr="009342BD" w14:paraId="15B1ACA3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0A6F2BC0" w14:textId="77777777" w:rsidR="00203E7D" w:rsidRPr="009342BD" w:rsidRDefault="00203E7D" w:rsidP="00607DB6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65EE0AA9" w14:textId="77777777" w:rsidR="00203E7D" w:rsidRPr="009342BD" w:rsidRDefault="00203E7D" w:rsidP="00607DB6">
            <w:pPr>
              <w:jc w:val="center"/>
            </w:pPr>
            <w:r w:rsidRPr="009342BD">
              <w:t>24.5%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81BF226" w14:textId="77777777" w:rsidR="00203E7D" w:rsidRPr="009342BD" w:rsidRDefault="00203E7D" w:rsidP="00607DB6">
            <w:pPr>
              <w:jc w:val="center"/>
            </w:pPr>
            <w:r w:rsidRPr="009342BD">
              <w:t>26.0%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3258633" w14:textId="77777777" w:rsidR="00203E7D" w:rsidRPr="009342BD" w:rsidRDefault="00203E7D" w:rsidP="00607DB6">
            <w:pPr>
              <w:jc w:val="center"/>
            </w:pPr>
            <w:r w:rsidRPr="009342BD">
              <w:t>25.5%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19A5009" w14:textId="77777777" w:rsidR="00203E7D" w:rsidRPr="009342BD" w:rsidRDefault="00203E7D" w:rsidP="00607DB6">
            <w:pPr>
              <w:jc w:val="center"/>
            </w:pPr>
            <w:r w:rsidRPr="009342BD">
              <w:t>14.0%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7FD2644" w14:textId="77777777" w:rsidR="00203E7D" w:rsidRPr="009342BD" w:rsidRDefault="00203E7D" w:rsidP="00607DB6">
            <w:pPr>
              <w:jc w:val="center"/>
            </w:pPr>
            <w:r w:rsidRPr="009342BD">
              <w:t>10.0%</w:t>
            </w:r>
          </w:p>
        </w:tc>
      </w:tr>
      <w:tr w:rsidR="009342BD" w:rsidRPr="009342BD" w14:paraId="39F800DF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5C38A9F4" w14:textId="77777777" w:rsidR="00203E7D" w:rsidRPr="009342BD" w:rsidRDefault="00203E7D" w:rsidP="00607DB6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04DCCD16" w14:textId="77777777" w:rsidR="00203E7D" w:rsidRPr="009342BD" w:rsidRDefault="00203E7D" w:rsidP="00607DB6">
            <w:pPr>
              <w:jc w:val="center"/>
            </w:pPr>
            <w:r w:rsidRPr="009342BD">
              <w:t>16.0%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5B4777F" w14:textId="77777777" w:rsidR="00203E7D" w:rsidRPr="009342BD" w:rsidRDefault="00203E7D" w:rsidP="00607DB6">
            <w:pPr>
              <w:jc w:val="center"/>
            </w:pPr>
            <w:r w:rsidRPr="009342BD">
              <w:t>21.0%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75906F3" w14:textId="77777777" w:rsidR="00203E7D" w:rsidRPr="009342BD" w:rsidRDefault="00203E7D" w:rsidP="00607DB6">
            <w:pPr>
              <w:jc w:val="center"/>
            </w:pPr>
            <w:r w:rsidRPr="009342BD">
              <w:t>23.5%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D6C5A83" w14:textId="77777777" w:rsidR="00203E7D" w:rsidRPr="009342BD" w:rsidRDefault="00203E7D" w:rsidP="00607DB6">
            <w:pPr>
              <w:jc w:val="center"/>
            </w:pPr>
            <w:r w:rsidRPr="009342BD">
              <w:t>22.5%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0D9434F" w14:textId="77777777" w:rsidR="00203E7D" w:rsidRPr="009342BD" w:rsidRDefault="00203E7D" w:rsidP="00607DB6">
            <w:pPr>
              <w:jc w:val="center"/>
            </w:pPr>
            <w:r w:rsidRPr="009342BD">
              <w:t>17.0%</w:t>
            </w:r>
          </w:p>
        </w:tc>
      </w:tr>
      <w:tr w:rsidR="009342BD" w:rsidRPr="009342BD" w14:paraId="6F7593C5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7A463650" w14:textId="77777777" w:rsidR="00203E7D" w:rsidRPr="009342BD" w:rsidRDefault="00203E7D" w:rsidP="00607DB6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729E89F4" w14:textId="77777777" w:rsidR="00203E7D" w:rsidRPr="009342BD" w:rsidRDefault="00203E7D" w:rsidP="00607DB6">
            <w:pPr>
              <w:jc w:val="center"/>
            </w:pPr>
            <w:r w:rsidRPr="009342BD">
              <w:t>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71F4F40" w14:textId="77777777" w:rsidR="00203E7D" w:rsidRPr="009342BD" w:rsidRDefault="00203E7D" w:rsidP="00607DB6">
            <w:pPr>
              <w:jc w:val="center"/>
            </w:pPr>
            <w:r w:rsidRPr="009342BD">
              <w:t>19.5%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7301C99" w14:textId="77777777" w:rsidR="00203E7D" w:rsidRPr="009342BD" w:rsidRDefault="00203E7D" w:rsidP="00607DB6">
            <w:pPr>
              <w:jc w:val="center"/>
            </w:pPr>
            <w:r w:rsidRPr="009342BD">
              <w:t>19.5%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BC5E4F6" w14:textId="77777777" w:rsidR="00203E7D" w:rsidRPr="009342BD" w:rsidRDefault="00203E7D" w:rsidP="00607DB6">
            <w:pPr>
              <w:jc w:val="center"/>
            </w:pPr>
            <w:r w:rsidRPr="009342BD">
              <w:t>27.5%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1ED80DD" w14:textId="77777777" w:rsidR="00203E7D" w:rsidRPr="009342BD" w:rsidRDefault="00203E7D" w:rsidP="00607DB6">
            <w:pPr>
              <w:jc w:val="center"/>
            </w:pPr>
            <w:r w:rsidRPr="009342BD">
              <w:t>24.0%</w:t>
            </w:r>
          </w:p>
        </w:tc>
      </w:tr>
      <w:tr w:rsidR="00607DB6" w:rsidRPr="009342BD" w14:paraId="68A36BA3" w14:textId="77777777" w:rsidTr="0021291C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2E594" w14:textId="77777777" w:rsidR="00203E7D" w:rsidRPr="009342BD" w:rsidRDefault="00203E7D" w:rsidP="00607DB6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E1FBA" w14:textId="77777777" w:rsidR="00203E7D" w:rsidRPr="009342BD" w:rsidRDefault="00203E7D" w:rsidP="00607DB6">
            <w:pPr>
              <w:jc w:val="center"/>
            </w:pPr>
            <w:r w:rsidRPr="009342BD">
              <w:t>3.5%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B40EEC" w14:textId="77777777" w:rsidR="00203E7D" w:rsidRPr="009342BD" w:rsidRDefault="00203E7D" w:rsidP="00607DB6">
            <w:pPr>
              <w:jc w:val="center"/>
            </w:pPr>
            <w:r w:rsidRPr="009342BD">
              <w:t>12.0%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D19DF" w14:textId="77777777" w:rsidR="00203E7D" w:rsidRPr="009342BD" w:rsidRDefault="00203E7D" w:rsidP="00607DB6">
            <w:pPr>
              <w:jc w:val="center"/>
            </w:pPr>
            <w:r w:rsidRPr="009342BD">
              <w:t>13.5%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C66B4E" w14:textId="77777777" w:rsidR="00203E7D" w:rsidRPr="009342BD" w:rsidRDefault="00203E7D" w:rsidP="00607DB6">
            <w:pPr>
              <w:jc w:val="center"/>
            </w:pPr>
            <w:r w:rsidRPr="009342BD">
              <w:t>27.0%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0F93BC" w14:textId="77777777" w:rsidR="00203E7D" w:rsidRPr="009342BD" w:rsidRDefault="00203E7D" w:rsidP="00607DB6">
            <w:pPr>
              <w:jc w:val="center"/>
            </w:pPr>
            <w:r w:rsidRPr="009342BD">
              <w:t>44.0%</w:t>
            </w:r>
          </w:p>
        </w:tc>
      </w:tr>
    </w:tbl>
    <w:p w14:paraId="2454CE8B" w14:textId="7B090E4E" w:rsidR="00203E7D" w:rsidRPr="009342BD" w:rsidRDefault="00203E7D" w:rsidP="00607DB6">
      <w:pPr>
        <w:pStyle w:val="TableTitle"/>
        <w:framePr w:hSpace="0" w:wrap="auto" w:xAlign="left" w:yAlign="inline"/>
        <w:spacing w:beforeLines="0" w:before="0" w:afterLines="0" w:after="0" w:line="240" w:lineRule="auto"/>
        <w:suppressOverlap w:val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574C6D42" w14:textId="77777777" w:rsidTr="0021291C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6484713A" w14:textId="28BD82CC" w:rsidR="00203E7D" w:rsidRPr="009342BD" w:rsidRDefault="00773576" w:rsidP="00607DB6">
            <w:pPr>
              <w:rPr>
                <w:b/>
              </w:rPr>
            </w:pPr>
            <w:r w:rsidRPr="009342BD">
              <w:rPr>
                <w:b/>
              </w:rPr>
              <w:t>Growth Model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47F8A9E4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99A7848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6051D94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D4C6BD1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67D0FB7A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29B4CAEF" w14:textId="77777777" w:rsidTr="0021291C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2A085312" w14:textId="2576CD0F" w:rsidR="00203E7D" w:rsidRPr="009342BD" w:rsidRDefault="00203E7D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67A811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A75570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58B8B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4735E0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EABF2B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9342BD" w:rsidRPr="009342BD" w14:paraId="13DD95DE" w14:textId="77777777" w:rsidTr="0021291C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DA0566" w14:textId="77777777" w:rsidR="00203E7D" w:rsidRPr="009342BD" w:rsidRDefault="00203E7D" w:rsidP="00607DB6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0DD3FA" w14:textId="77777777" w:rsidR="00203E7D" w:rsidRPr="009342BD" w:rsidRDefault="00203E7D" w:rsidP="00607DB6">
            <w:pPr>
              <w:jc w:val="center"/>
            </w:pPr>
            <w:r w:rsidRPr="009342BD">
              <w:t>21.5%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89E0F6" w14:textId="77777777" w:rsidR="00203E7D" w:rsidRPr="009342BD" w:rsidRDefault="00203E7D" w:rsidP="00607DB6">
            <w:pPr>
              <w:jc w:val="center"/>
            </w:pPr>
            <w:r w:rsidRPr="009342BD">
              <w:t>21.0%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87E740" w14:textId="77777777" w:rsidR="00203E7D" w:rsidRPr="009342BD" w:rsidRDefault="00203E7D" w:rsidP="00607DB6">
            <w:pPr>
              <w:jc w:val="center"/>
            </w:pPr>
            <w:r w:rsidRPr="009342BD">
              <w:t>17.5%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BF70B2" w14:textId="77777777" w:rsidR="00203E7D" w:rsidRPr="009342BD" w:rsidRDefault="00203E7D" w:rsidP="00607DB6">
            <w:pPr>
              <w:jc w:val="center"/>
            </w:pPr>
            <w:r w:rsidRPr="009342BD">
              <w:t>21.0%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532C76" w14:textId="77777777" w:rsidR="00203E7D" w:rsidRPr="009342BD" w:rsidRDefault="00203E7D" w:rsidP="00607DB6">
            <w:pPr>
              <w:jc w:val="center"/>
            </w:pPr>
            <w:r w:rsidRPr="009342BD">
              <w:t>19.0%</w:t>
            </w:r>
          </w:p>
        </w:tc>
      </w:tr>
      <w:tr w:rsidR="009342BD" w:rsidRPr="009342BD" w14:paraId="53959AA5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36CB27D0" w14:textId="77777777" w:rsidR="00203E7D" w:rsidRPr="009342BD" w:rsidRDefault="00203E7D" w:rsidP="00607DB6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2AC318F3" w14:textId="77777777" w:rsidR="00203E7D" w:rsidRPr="009342BD" w:rsidRDefault="00203E7D" w:rsidP="00607DB6">
            <w:pPr>
              <w:jc w:val="center"/>
            </w:pPr>
            <w:r w:rsidRPr="009342BD">
              <w:t>21.5%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9A0F992" w14:textId="77777777" w:rsidR="00203E7D" w:rsidRPr="009342BD" w:rsidRDefault="00203E7D" w:rsidP="00607DB6">
            <w:pPr>
              <w:jc w:val="center"/>
            </w:pPr>
            <w:r w:rsidRPr="009342BD">
              <w:t>16.5%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F9320F7" w14:textId="77777777" w:rsidR="00203E7D" w:rsidRPr="009342BD" w:rsidRDefault="00203E7D" w:rsidP="00607DB6">
            <w:pPr>
              <w:jc w:val="center"/>
            </w:pPr>
            <w:r w:rsidRPr="009342BD">
              <w:t>16.5%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A649625" w14:textId="77777777" w:rsidR="00203E7D" w:rsidRPr="009342BD" w:rsidRDefault="00203E7D" w:rsidP="00607DB6">
            <w:pPr>
              <w:jc w:val="center"/>
            </w:pPr>
            <w:r w:rsidRPr="009342BD">
              <w:t>26.0%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FE0F14A" w14:textId="77777777" w:rsidR="00203E7D" w:rsidRPr="009342BD" w:rsidRDefault="00203E7D" w:rsidP="00607DB6">
            <w:pPr>
              <w:jc w:val="center"/>
            </w:pPr>
            <w:r w:rsidRPr="009342BD">
              <w:t>19.5%</w:t>
            </w:r>
          </w:p>
        </w:tc>
      </w:tr>
      <w:tr w:rsidR="009342BD" w:rsidRPr="009342BD" w14:paraId="022250E7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2D5A81F6" w14:textId="77777777" w:rsidR="00203E7D" w:rsidRPr="009342BD" w:rsidRDefault="00203E7D" w:rsidP="00607DB6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043881ED" w14:textId="77777777" w:rsidR="00203E7D" w:rsidRPr="009342BD" w:rsidRDefault="00203E7D" w:rsidP="00607DB6">
            <w:pPr>
              <w:jc w:val="center"/>
            </w:pPr>
            <w:r w:rsidRPr="009342BD">
              <w:t>19.5%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6DD267C" w14:textId="77777777" w:rsidR="00203E7D" w:rsidRPr="009342BD" w:rsidRDefault="00203E7D" w:rsidP="00607DB6">
            <w:pPr>
              <w:jc w:val="center"/>
            </w:pPr>
            <w:r w:rsidRPr="009342BD">
              <w:t>20.0%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D1A1E2A" w14:textId="77777777" w:rsidR="00203E7D" w:rsidRPr="009342BD" w:rsidRDefault="00203E7D" w:rsidP="00607DB6">
            <w:pPr>
              <w:jc w:val="center"/>
            </w:pPr>
            <w:r w:rsidRPr="009342BD">
              <w:t>26.0%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E04172A" w14:textId="77777777" w:rsidR="00203E7D" w:rsidRPr="009342BD" w:rsidRDefault="00203E7D" w:rsidP="00607DB6">
            <w:pPr>
              <w:jc w:val="center"/>
            </w:pPr>
            <w:r w:rsidRPr="009342BD">
              <w:t>15.5%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DF95AEF" w14:textId="77777777" w:rsidR="00203E7D" w:rsidRPr="009342BD" w:rsidRDefault="00203E7D" w:rsidP="00607DB6">
            <w:pPr>
              <w:jc w:val="center"/>
            </w:pPr>
            <w:r w:rsidRPr="009342BD">
              <w:t>19.0%</w:t>
            </w:r>
          </w:p>
        </w:tc>
      </w:tr>
      <w:tr w:rsidR="009342BD" w:rsidRPr="009342BD" w14:paraId="21432E06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79866BBB" w14:textId="77777777" w:rsidR="00203E7D" w:rsidRPr="009342BD" w:rsidRDefault="00203E7D" w:rsidP="00607DB6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34DFDF85" w14:textId="77777777" w:rsidR="00203E7D" w:rsidRPr="009342BD" w:rsidRDefault="00203E7D" w:rsidP="00607DB6">
            <w:pPr>
              <w:jc w:val="center"/>
            </w:pPr>
            <w:r w:rsidRPr="009342BD">
              <w:t>19.0%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B8EC22B" w14:textId="77777777" w:rsidR="00203E7D" w:rsidRPr="009342BD" w:rsidRDefault="00203E7D" w:rsidP="00607DB6">
            <w:pPr>
              <w:jc w:val="center"/>
            </w:pPr>
            <w:r w:rsidRPr="009342BD">
              <w:t>17.5%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EBB9EB8" w14:textId="77777777" w:rsidR="00203E7D" w:rsidRPr="009342BD" w:rsidRDefault="00203E7D" w:rsidP="00607DB6">
            <w:pPr>
              <w:jc w:val="center"/>
            </w:pPr>
            <w:r w:rsidRPr="009342BD">
              <w:t>18.5%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EC4F466" w14:textId="77777777" w:rsidR="00203E7D" w:rsidRPr="009342BD" w:rsidRDefault="00203E7D" w:rsidP="00607DB6">
            <w:pPr>
              <w:jc w:val="center"/>
            </w:pPr>
            <w:r w:rsidRPr="009342BD">
              <w:t>20.5%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4E0DB1F" w14:textId="77777777" w:rsidR="00203E7D" w:rsidRPr="009342BD" w:rsidRDefault="00203E7D" w:rsidP="00607DB6">
            <w:pPr>
              <w:jc w:val="center"/>
            </w:pPr>
            <w:r w:rsidRPr="009342BD">
              <w:t>24.5%</w:t>
            </w:r>
          </w:p>
        </w:tc>
      </w:tr>
      <w:tr w:rsidR="00607DB6" w:rsidRPr="009342BD" w14:paraId="6B78BD2F" w14:textId="77777777" w:rsidTr="0021291C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495607" w14:textId="77777777" w:rsidR="00203E7D" w:rsidRPr="009342BD" w:rsidRDefault="00203E7D" w:rsidP="00607DB6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606B5" w14:textId="77777777" w:rsidR="00203E7D" w:rsidRPr="009342BD" w:rsidRDefault="00203E7D" w:rsidP="00607DB6">
            <w:pPr>
              <w:jc w:val="center"/>
            </w:pPr>
            <w:r w:rsidRPr="009342BD">
              <w:t>18.5%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EC487D" w14:textId="77777777" w:rsidR="00203E7D" w:rsidRPr="009342BD" w:rsidRDefault="00203E7D" w:rsidP="00607DB6">
            <w:pPr>
              <w:jc w:val="center"/>
            </w:pPr>
            <w:r w:rsidRPr="009342BD">
              <w:t>25.0%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A5AB45" w14:textId="77777777" w:rsidR="00203E7D" w:rsidRPr="009342BD" w:rsidRDefault="00203E7D" w:rsidP="00607DB6">
            <w:pPr>
              <w:jc w:val="center"/>
            </w:pPr>
            <w:r w:rsidRPr="009342BD">
              <w:t>21.5%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A830F7" w14:textId="77777777" w:rsidR="00203E7D" w:rsidRPr="009342BD" w:rsidRDefault="00203E7D" w:rsidP="00607DB6">
            <w:pPr>
              <w:jc w:val="center"/>
            </w:pPr>
            <w:r w:rsidRPr="009342BD">
              <w:t>17.0%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B1E5E" w14:textId="77777777" w:rsidR="00203E7D" w:rsidRPr="009342BD" w:rsidRDefault="00203E7D" w:rsidP="00607DB6">
            <w:pPr>
              <w:jc w:val="center"/>
            </w:pPr>
            <w:r w:rsidRPr="009342BD">
              <w:t>18.0%</w:t>
            </w:r>
          </w:p>
        </w:tc>
      </w:tr>
    </w:tbl>
    <w:p w14:paraId="71686FC8" w14:textId="1AEA8FED" w:rsidR="00203E7D" w:rsidRPr="009342BD" w:rsidRDefault="00203E7D" w:rsidP="00607DB6">
      <w:pPr>
        <w:pStyle w:val="TableTitle"/>
        <w:framePr w:hSpace="0" w:wrap="auto" w:xAlign="left" w:yAlign="inline"/>
        <w:spacing w:beforeLines="0" w:before="0" w:afterLines="0" w:after="0" w:line="240" w:lineRule="auto"/>
        <w:suppressOverlap w:val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6A76DA95" w14:textId="77777777" w:rsidTr="0021291C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4E953E4C" w14:textId="0082ACA8" w:rsidR="00203E7D" w:rsidRPr="009342BD" w:rsidRDefault="00773576" w:rsidP="00607DB6">
            <w:pPr>
              <w:rPr>
                <w:b/>
              </w:rPr>
            </w:pPr>
            <w:r w:rsidRPr="009342BD">
              <w:rPr>
                <w:b/>
              </w:rPr>
              <w:t>Human Capital Model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4E83C027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F6F6A24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6047B5FA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3A1D1BED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09C5205A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236FB954" w14:textId="77777777" w:rsidTr="0021291C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6CAC87AD" w14:textId="33A037E9" w:rsidR="00203E7D" w:rsidRPr="009342BD" w:rsidRDefault="00203E7D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DDFA39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538A5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EAE6E9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951BC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B17204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9342BD" w:rsidRPr="009342BD" w14:paraId="3288FE36" w14:textId="77777777" w:rsidTr="0021291C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2595FF" w14:textId="77777777" w:rsidR="00203E7D" w:rsidRPr="009342BD" w:rsidRDefault="00203E7D" w:rsidP="00607DB6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F8203F" w14:textId="77777777" w:rsidR="00203E7D" w:rsidRPr="009342BD" w:rsidRDefault="00203E7D" w:rsidP="00607DB6">
            <w:pPr>
              <w:jc w:val="center"/>
            </w:pPr>
            <w:r w:rsidRPr="009342BD">
              <w:t>35.5%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F9C4BD" w14:textId="77777777" w:rsidR="00203E7D" w:rsidRPr="009342BD" w:rsidRDefault="00203E7D" w:rsidP="00607DB6">
            <w:pPr>
              <w:jc w:val="center"/>
            </w:pPr>
            <w:r w:rsidRPr="009342BD">
              <w:t>31.5%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FD54CF" w14:textId="77777777" w:rsidR="00203E7D" w:rsidRPr="009342BD" w:rsidRDefault="00203E7D" w:rsidP="00607DB6">
            <w:pPr>
              <w:jc w:val="center"/>
            </w:pPr>
            <w:r w:rsidRPr="009342BD">
              <w:t>22.0%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B745A" w14:textId="77777777" w:rsidR="00203E7D" w:rsidRPr="009342BD" w:rsidRDefault="00203E7D" w:rsidP="00607DB6">
            <w:pPr>
              <w:jc w:val="center"/>
            </w:pPr>
            <w:r w:rsidRPr="009342BD">
              <w:t>10.0%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9B4A94" w14:textId="77777777" w:rsidR="00203E7D" w:rsidRPr="009342BD" w:rsidRDefault="00203E7D" w:rsidP="00607DB6">
            <w:pPr>
              <w:jc w:val="center"/>
            </w:pPr>
            <w:r w:rsidRPr="009342BD">
              <w:t>1.0%</w:t>
            </w:r>
          </w:p>
        </w:tc>
      </w:tr>
      <w:tr w:rsidR="009342BD" w:rsidRPr="009342BD" w14:paraId="77C26E48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4C8D2D91" w14:textId="77777777" w:rsidR="00203E7D" w:rsidRPr="009342BD" w:rsidRDefault="00203E7D" w:rsidP="00607DB6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5F19E63F" w14:textId="77777777" w:rsidR="00203E7D" w:rsidRPr="009342BD" w:rsidRDefault="00203E7D" w:rsidP="00607DB6">
            <w:pPr>
              <w:jc w:val="center"/>
            </w:pPr>
            <w:r w:rsidRPr="009342BD">
              <w:t>30.5%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FA2DF2A" w14:textId="77777777" w:rsidR="00203E7D" w:rsidRPr="009342BD" w:rsidRDefault="00203E7D" w:rsidP="00607DB6">
            <w:pPr>
              <w:jc w:val="center"/>
            </w:pPr>
            <w:r w:rsidRPr="009342BD">
              <w:t>36.5%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6585E1F" w14:textId="77777777" w:rsidR="00203E7D" w:rsidRPr="009342BD" w:rsidRDefault="00203E7D" w:rsidP="00607DB6">
            <w:pPr>
              <w:jc w:val="center"/>
            </w:pPr>
            <w:r w:rsidRPr="009342BD">
              <w:t>19.5%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71F9B83" w14:textId="77777777" w:rsidR="00203E7D" w:rsidRPr="009342BD" w:rsidRDefault="00203E7D" w:rsidP="00607DB6">
            <w:pPr>
              <w:jc w:val="center"/>
            </w:pPr>
            <w:r w:rsidRPr="009342BD">
              <w:t>12.0%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29DB8AD" w14:textId="77777777" w:rsidR="00203E7D" w:rsidRPr="009342BD" w:rsidRDefault="00203E7D" w:rsidP="00607DB6">
            <w:pPr>
              <w:jc w:val="center"/>
            </w:pPr>
            <w:r w:rsidRPr="009342BD">
              <w:t>1.5%</w:t>
            </w:r>
          </w:p>
        </w:tc>
      </w:tr>
      <w:tr w:rsidR="009342BD" w:rsidRPr="009342BD" w14:paraId="58874FDA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790DAB27" w14:textId="77777777" w:rsidR="00203E7D" w:rsidRPr="009342BD" w:rsidRDefault="00203E7D" w:rsidP="00607DB6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1C6BF6C6" w14:textId="77777777" w:rsidR="00203E7D" w:rsidRPr="009342BD" w:rsidRDefault="00203E7D" w:rsidP="00607DB6">
            <w:pPr>
              <w:jc w:val="center"/>
            </w:pPr>
            <w:r w:rsidRPr="009342BD">
              <w:t>20.5%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4E6CA4A" w14:textId="77777777" w:rsidR="00203E7D" w:rsidRPr="009342BD" w:rsidRDefault="00203E7D" w:rsidP="00607DB6">
            <w:pPr>
              <w:jc w:val="center"/>
            </w:pPr>
            <w:r w:rsidRPr="009342BD">
              <w:t>20.0%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4EB7A35" w14:textId="77777777" w:rsidR="00203E7D" w:rsidRPr="009342BD" w:rsidRDefault="00203E7D" w:rsidP="00607DB6">
            <w:pPr>
              <w:jc w:val="center"/>
            </w:pPr>
            <w:r w:rsidRPr="009342BD">
              <w:t>28.5%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8BC30DF" w14:textId="77777777" w:rsidR="00203E7D" w:rsidRPr="009342BD" w:rsidRDefault="00203E7D" w:rsidP="00607DB6">
            <w:pPr>
              <w:jc w:val="center"/>
            </w:pPr>
            <w:r w:rsidRPr="009342BD">
              <w:t>26.5%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6ABD140" w14:textId="77777777" w:rsidR="00203E7D" w:rsidRPr="009342BD" w:rsidRDefault="00203E7D" w:rsidP="00607DB6">
            <w:pPr>
              <w:jc w:val="center"/>
            </w:pPr>
            <w:r w:rsidRPr="009342BD">
              <w:t>4.5%</w:t>
            </w:r>
          </w:p>
        </w:tc>
      </w:tr>
      <w:tr w:rsidR="009342BD" w:rsidRPr="009342BD" w14:paraId="69A9731D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5A0F4299" w14:textId="77777777" w:rsidR="00203E7D" w:rsidRPr="009342BD" w:rsidRDefault="00203E7D" w:rsidP="00607DB6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167AD0B6" w14:textId="77777777" w:rsidR="00203E7D" w:rsidRPr="009342BD" w:rsidRDefault="00203E7D" w:rsidP="00607DB6">
            <w:pPr>
              <w:jc w:val="center"/>
            </w:pPr>
            <w:r w:rsidRPr="009342BD">
              <w:t>13.0%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0A58387" w14:textId="77777777" w:rsidR="00203E7D" w:rsidRPr="009342BD" w:rsidRDefault="00203E7D" w:rsidP="00607DB6">
            <w:pPr>
              <w:jc w:val="center"/>
            </w:pPr>
            <w:r w:rsidRPr="009342BD">
              <w:t>11.5%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8B3885D" w14:textId="77777777" w:rsidR="00203E7D" w:rsidRPr="009342BD" w:rsidRDefault="00203E7D" w:rsidP="00607DB6">
            <w:pPr>
              <w:jc w:val="center"/>
            </w:pPr>
            <w:r w:rsidRPr="009342BD">
              <w:t>27.5%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A834C13" w14:textId="77777777" w:rsidR="00203E7D" w:rsidRPr="009342BD" w:rsidRDefault="00203E7D" w:rsidP="00607DB6">
            <w:pPr>
              <w:jc w:val="center"/>
            </w:pPr>
            <w:r w:rsidRPr="009342BD">
              <w:t>28.0%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A0A569C" w14:textId="77777777" w:rsidR="00203E7D" w:rsidRPr="009342BD" w:rsidRDefault="00203E7D" w:rsidP="00607DB6">
            <w:pPr>
              <w:jc w:val="center"/>
            </w:pPr>
            <w:r w:rsidRPr="009342BD">
              <w:t>20.0%</w:t>
            </w:r>
          </w:p>
        </w:tc>
      </w:tr>
      <w:tr w:rsidR="00607DB6" w:rsidRPr="009342BD" w14:paraId="711EDAC3" w14:textId="77777777" w:rsidTr="0021291C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B21493" w14:textId="77777777" w:rsidR="00203E7D" w:rsidRPr="009342BD" w:rsidRDefault="00203E7D" w:rsidP="00607DB6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CC1A9A" w14:textId="77777777" w:rsidR="00203E7D" w:rsidRPr="009342BD" w:rsidRDefault="00203E7D" w:rsidP="00607DB6">
            <w:pPr>
              <w:jc w:val="center"/>
            </w:pPr>
            <w:r w:rsidRPr="009342BD">
              <w:t>0.5%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55F8F" w14:textId="77777777" w:rsidR="00203E7D" w:rsidRPr="009342BD" w:rsidRDefault="00203E7D" w:rsidP="00607DB6">
            <w:pPr>
              <w:jc w:val="center"/>
            </w:pPr>
            <w:r w:rsidRPr="009342BD">
              <w:t>0.5%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CFD414" w14:textId="77777777" w:rsidR="00203E7D" w:rsidRPr="009342BD" w:rsidRDefault="00203E7D" w:rsidP="00607DB6">
            <w:pPr>
              <w:jc w:val="center"/>
            </w:pPr>
            <w:r w:rsidRPr="009342BD">
              <w:t>2.5%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7E904" w14:textId="77777777" w:rsidR="00203E7D" w:rsidRPr="009342BD" w:rsidRDefault="00203E7D" w:rsidP="00607DB6">
            <w:pPr>
              <w:jc w:val="center"/>
            </w:pPr>
            <w:r w:rsidRPr="009342BD">
              <w:t>23.5%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8331EC" w14:textId="77777777" w:rsidR="00203E7D" w:rsidRPr="009342BD" w:rsidRDefault="00203E7D" w:rsidP="00607DB6">
            <w:pPr>
              <w:jc w:val="center"/>
            </w:pPr>
            <w:r w:rsidRPr="009342BD">
              <w:t>73.0%</w:t>
            </w:r>
          </w:p>
        </w:tc>
      </w:tr>
    </w:tbl>
    <w:p w14:paraId="78C1DC4C" w14:textId="2A8517FE" w:rsidR="00203E7D" w:rsidRPr="009342BD" w:rsidRDefault="00203E7D" w:rsidP="00607DB6">
      <w:pPr>
        <w:pStyle w:val="TableTitle"/>
        <w:framePr w:hSpace="0" w:wrap="auto" w:xAlign="left" w:yAlign="inline"/>
        <w:spacing w:beforeLines="0" w:before="0" w:afterLines="0" w:after="0" w:line="240" w:lineRule="auto"/>
        <w:suppressOverlap w:val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068716E2" w14:textId="77777777" w:rsidTr="0021291C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402D5954" w14:textId="1EC0F37C" w:rsidR="00203E7D" w:rsidRPr="009342BD" w:rsidRDefault="00773576" w:rsidP="00607DB6">
            <w:pPr>
              <w:rPr>
                <w:b/>
              </w:rPr>
            </w:pPr>
            <w:r w:rsidRPr="009342BD">
              <w:rPr>
                <w:b/>
              </w:rPr>
              <w:t>Physical Capital Model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26C8BFF6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7E790F0A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0542E833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72D29FDA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154B584C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201033F5" w14:textId="77777777" w:rsidTr="0021291C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07858338" w14:textId="4EF64017" w:rsidR="00203E7D" w:rsidRPr="009342BD" w:rsidRDefault="00203E7D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07A7C7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BC4C1E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C0F808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F842A4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21719B" w14:textId="77777777" w:rsidR="00203E7D" w:rsidRPr="009342BD" w:rsidRDefault="00203E7D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9342BD" w:rsidRPr="009342BD" w14:paraId="36DC2B39" w14:textId="77777777" w:rsidTr="0021291C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A60004" w14:textId="77777777" w:rsidR="00203E7D" w:rsidRPr="009342BD" w:rsidRDefault="00203E7D" w:rsidP="00607DB6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5B7445" w14:textId="77777777" w:rsidR="00203E7D" w:rsidRPr="009342BD" w:rsidRDefault="00203E7D" w:rsidP="00607DB6">
            <w:pPr>
              <w:jc w:val="center"/>
            </w:pPr>
            <w:r w:rsidRPr="009342BD">
              <w:t>82.5%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88343C" w14:textId="77777777" w:rsidR="00203E7D" w:rsidRPr="009342BD" w:rsidRDefault="00203E7D" w:rsidP="00607DB6">
            <w:pPr>
              <w:jc w:val="center"/>
            </w:pPr>
            <w:r w:rsidRPr="009342BD">
              <w:t>11.5%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48D258" w14:textId="77777777" w:rsidR="00203E7D" w:rsidRPr="009342BD" w:rsidRDefault="00203E7D" w:rsidP="00607DB6">
            <w:pPr>
              <w:jc w:val="center"/>
            </w:pPr>
            <w:r w:rsidRPr="009342BD">
              <w:t>0.5%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26B4" w14:textId="77777777" w:rsidR="00203E7D" w:rsidRPr="009342BD" w:rsidRDefault="00203E7D" w:rsidP="00607DB6">
            <w:pPr>
              <w:jc w:val="center"/>
            </w:pPr>
            <w:r w:rsidRPr="009342BD">
              <w:t>5.0%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6B8BBA" w14:textId="77777777" w:rsidR="00203E7D" w:rsidRPr="009342BD" w:rsidRDefault="00203E7D" w:rsidP="00607DB6">
            <w:pPr>
              <w:jc w:val="center"/>
            </w:pPr>
            <w:r w:rsidRPr="009342BD">
              <w:t>0.5%</w:t>
            </w:r>
          </w:p>
        </w:tc>
      </w:tr>
      <w:tr w:rsidR="009342BD" w:rsidRPr="009342BD" w14:paraId="3A22528E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3772FC94" w14:textId="77777777" w:rsidR="00203E7D" w:rsidRPr="009342BD" w:rsidRDefault="00203E7D" w:rsidP="00607DB6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51508F8F" w14:textId="77777777" w:rsidR="00203E7D" w:rsidRPr="009342BD" w:rsidRDefault="00203E7D" w:rsidP="00607DB6">
            <w:pPr>
              <w:jc w:val="center"/>
            </w:pPr>
            <w:r w:rsidRPr="009342BD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AA039F7" w14:textId="77777777" w:rsidR="00203E7D" w:rsidRPr="009342BD" w:rsidRDefault="00203E7D" w:rsidP="00607DB6">
            <w:pPr>
              <w:jc w:val="center"/>
            </w:pPr>
            <w:r w:rsidRPr="009342BD">
              <w:t>60.5%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FDC8A7B" w14:textId="77777777" w:rsidR="00203E7D" w:rsidRPr="009342BD" w:rsidRDefault="00203E7D" w:rsidP="00607DB6">
            <w:pPr>
              <w:jc w:val="center"/>
            </w:pPr>
            <w:r w:rsidRPr="009342BD">
              <w:t>8.0%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AB94AAE" w14:textId="77777777" w:rsidR="00203E7D" w:rsidRPr="009342BD" w:rsidRDefault="00203E7D" w:rsidP="00607DB6">
            <w:pPr>
              <w:jc w:val="center"/>
            </w:pPr>
            <w:r w:rsidRPr="009342BD">
              <w:t>20.0%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172BF50" w14:textId="77777777" w:rsidR="00203E7D" w:rsidRPr="009342BD" w:rsidRDefault="00203E7D" w:rsidP="00607DB6">
            <w:pPr>
              <w:jc w:val="center"/>
            </w:pPr>
            <w:r w:rsidRPr="009342BD">
              <w:t>11.5%</w:t>
            </w:r>
          </w:p>
        </w:tc>
      </w:tr>
      <w:tr w:rsidR="009342BD" w:rsidRPr="009342BD" w14:paraId="19FA3E46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51C5DA0A" w14:textId="77777777" w:rsidR="00203E7D" w:rsidRPr="009342BD" w:rsidRDefault="00203E7D" w:rsidP="00607DB6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2E4AA446" w14:textId="77777777" w:rsidR="00203E7D" w:rsidRPr="009342BD" w:rsidRDefault="00203E7D" w:rsidP="00607DB6">
            <w:pPr>
              <w:jc w:val="center"/>
            </w:pPr>
            <w:r w:rsidRPr="009342BD">
              <w:t>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08CE7D4" w14:textId="77777777" w:rsidR="00203E7D" w:rsidRPr="009342BD" w:rsidRDefault="00203E7D" w:rsidP="00607DB6">
            <w:pPr>
              <w:jc w:val="center"/>
            </w:pPr>
            <w:r w:rsidRPr="009342BD">
              <w:t>1.0%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8A64DB0" w14:textId="77777777" w:rsidR="00203E7D" w:rsidRPr="009342BD" w:rsidRDefault="00203E7D" w:rsidP="00607DB6">
            <w:pPr>
              <w:jc w:val="center"/>
            </w:pPr>
            <w:r w:rsidRPr="009342BD">
              <w:t>54.5%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EFF3014" w14:textId="77777777" w:rsidR="00203E7D" w:rsidRPr="009342BD" w:rsidRDefault="00203E7D" w:rsidP="00607DB6">
            <w:pPr>
              <w:jc w:val="center"/>
            </w:pPr>
            <w:r w:rsidRPr="009342BD">
              <w:t>19.5%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EE45E15" w14:textId="77777777" w:rsidR="00203E7D" w:rsidRPr="009342BD" w:rsidRDefault="00203E7D" w:rsidP="00607DB6">
            <w:pPr>
              <w:jc w:val="center"/>
            </w:pPr>
            <w:r w:rsidRPr="009342BD">
              <w:t>15.5%</w:t>
            </w:r>
          </w:p>
        </w:tc>
      </w:tr>
      <w:tr w:rsidR="009342BD" w:rsidRPr="009342BD" w14:paraId="24735E1C" w14:textId="77777777" w:rsidTr="0021291C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3033B39C" w14:textId="77777777" w:rsidR="00203E7D" w:rsidRPr="009342BD" w:rsidRDefault="00203E7D" w:rsidP="00607DB6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4A7E39A5" w14:textId="77777777" w:rsidR="00203E7D" w:rsidRPr="009342BD" w:rsidRDefault="00203E7D" w:rsidP="00607DB6">
            <w:pPr>
              <w:jc w:val="center"/>
            </w:pPr>
            <w:r w:rsidRPr="009342BD">
              <w:t>5.5%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7763DD7" w14:textId="77777777" w:rsidR="00203E7D" w:rsidRPr="009342BD" w:rsidRDefault="00203E7D" w:rsidP="00607DB6">
            <w:pPr>
              <w:jc w:val="center"/>
            </w:pPr>
            <w:r w:rsidRPr="009342BD">
              <w:t>22.5%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E2F4536" w14:textId="77777777" w:rsidR="00203E7D" w:rsidRPr="009342BD" w:rsidRDefault="00203E7D" w:rsidP="00607DB6">
            <w:pPr>
              <w:jc w:val="center"/>
            </w:pPr>
            <w:r w:rsidRPr="009342BD">
              <w:t>26.5%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67EF5DF" w14:textId="77777777" w:rsidR="00203E7D" w:rsidRPr="009342BD" w:rsidRDefault="00203E7D" w:rsidP="00607DB6">
            <w:pPr>
              <w:jc w:val="center"/>
            </w:pPr>
            <w:r w:rsidRPr="009342BD">
              <w:t>34.5%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FAB29E7" w14:textId="77777777" w:rsidR="00203E7D" w:rsidRPr="009342BD" w:rsidRDefault="00203E7D" w:rsidP="00607DB6">
            <w:pPr>
              <w:jc w:val="center"/>
            </w:pPr>
            <w:r w:rsidRPr="009342BD">
              <w:t>11.0%</w:t>
            </w:r>
          </w:p>
        </w:tc>
      </w:tr>
      <w:tr w:rsidR="00607DB6" w:rsidRPr="009342BD" w14:paraId="0E515AF6" w14:textId="77777777" w:rsidTr="0021291C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EE0DD1" w14:textId="77777777" w:rsidR="00203E7D" w:rsidRPr="009342BD" w:rsidRDefault="00203E7D" w:rsidP="00607DB6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950D39" w14:textId="77777777" w:rsidR="00203E7D" w:rsidRPr="009342BD" w:rsidRDefault="00203E7D" w:rsidP="00607DB6">
            <w:pPr>
              <w:jc w:val="center"/>
            </w:pPr>
            <w:r w:rsidRPr="009342BD">
              <w:t>2.5%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293F1C" w14:textId="77777777" w:rsidR="00203E7D" w:rsidRPr="009342BD" w:rsidRDefault="00203E7D" w:rsidP="00607DB6">
            <w:pPr>
              <w:jc w:val="center"/>
            </w:pPr>
            <w:r w:rsidRPr="009342BD">
              <w:t>4.5%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671B97" w14:textId="77777777" w:rsidR="00203E7D" w:rsidRPr="009342BD" w:rsidRDefault="00203E7D" w:rsidP="00607DB6">
            <w:pPr>
              <w:jc w:val="center"/>
            </w:pPr>
            <w:r w:rsidRPr="009342BD">
              <w:t>10.5%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9A6AF7" w14:textId="77777777" w:rsidR="00203E7D" w:rsidRPr="009342BD" w:rsidRDefault="00203E7D" w:rsidP="00607DB6">
            <w:pPr>
              <w:jc w:val="center"/>
            </w:pPr>
            <w:r w:rsidRPr="009342BD">
              <w:t>21.0%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0649FD" w14:textId="77777777" w:rsidR="00203E7D" w:rsidRPr="009342BD" w:rsidRDefault="00203E7D" w:rsidP="00607DB6">
            <w:pPr>
              <w:jc w:val="center"/>
            </w:pPr>
            <w:r w:rsidRPr="009342BD">
              <w:t>61.5%</w:t>
            </w:r>
          </w:p>
        </w:tc>
      </w:tr>
    </w:tbl>
    <w:p w14:paraId="7D2ECC24" w14:textId="77777777" w:rsidR="004C22CC" w:rsidRPr="009342BD" w:rsidRDefault="004C22CC" w:rsidP="004C22CC">
      <w:pPr>
        <w:spacing w:beforeLines="100" w:before="240" w:afterLines="100" w:after="240" w:line="360" w:lineRule="exact"/>
        <w:jc w:val="both"/>
      </w:pPr>
    </w:p>
    <w:p w14:paraId="2703C3C3" w14:textId="067DCF79" w:rsidR="004C22CC" w:rsidRPr="009342BD" w:rsidRDefault="004C22CC" w:rsidP="009C31DD">
      <w:pPr>
        <w:spacing w:beforeLines="100" w:before="240" w:afterLines="100" w:after="240" w:line="360" w:lineRule="exact"/>
        <w:jc w:val="both"/>
      </w:pPr>
    </w:p>
    <w:p w14:paraId="4651D156" w14:textId="77777777" w:rsidR="0044714D" w:rsidRPr="009342BD" w:rsidRDefault="0044714D" w:rsidP="004E1976">
      <w:pPr>
        <w:pStyle w:val="TableTitle"/>
        <w:framePr w:hSpace="0" w:wrap="auto" w:xAlign="left" w:yAlign="inline"/>
        <w:suppressOverlap w:val="0"/>
        <w:sectPr w:rsidR="0044714D" w:rsidRPr="009342B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4FB312" w14:textId="7C6793E6" w:rsidR="004E1976" w:rsidRPr="009342BD" w:rsidRDefault="004E1976" w:rsidP="004E1976">
      <w:pPr>
        <w:pStyle w:val="TableTitle"/>
        <w:framePr w:hSpace="0" w:wrap="auto" w:xAlign="left" w:yAlign="inline"/>
        <w:suppressOverlap w:val="0"/>
        <w:rPr>
          <w:i w:val="0"/>
          <w:iCs w:val="0"/>
        </w:rPr>
      </w:pPr>
      <w:bookmarkStart w:id="3" w:name="_Ref80545035"/>
      <w:r w:rsidRPr="009342BD">
        <w:rPr>
          <w:i w:val="0"/>
          <w:iCs w:val="0"/>
        </w:rPr>
        <w:lastRenderedPageBreak/>
        <w:t xml:space="preserve">Table </w:t>
      </w:r>
      <w:r w:rsidR="00C87043" w:rsidRPr="009342BD">
        <w:rPr>
          <w:i w:val="0"/>
          <w:iCs w:val="0"/>
        </w:rPr>
        <w:fldChar w:fldCharType="begin"/>
      </w:r>
      <w:r w:rsidR="00C87043" w:rsidRPr="009342BD">
        <w:rPr>
          <w:i w:val="0"/>
          <w:iCs w:val="0"/>
        </w:rPr>
        <w:instrText xml:space="preserve"> SEQ Table \* ARABIC </w:instrText>
      </w:r>
      <w:r w:rsidR="00C87043" w:rsidRPr="009342BD">
        <w:rPr>
          <w:i w:val="0"/>
          <w:iCs w:val="0"/>
        </w:rPr>
        <w:fldChar w:fldCharType="separate"/>
      </w:r>
      <w:r w:rsidR="00FB1CE7">
        <w:rPr>
          <w:i w:val="0"/>
          <w:iCs w:val="0"/>
          <w:noProof/>
        </w:rPr>
        <w:t>11</w:t>
      </w:r>
      <w:r w:rsidR="00C87043" w:rsidRPr="009342BD">
        <w:rPr>
          <w:i w:val="0"/>
          <w:iCs w:val="0"/>
        </w:rPr>
        <w:fldChar w:fldCharType="end"/>
      </w:r>
      <w:bookmarkEnd w:id="3"/>
      <w:r w:rsidRPr="009342BD">
        <w:rPr>
          <w:i w:val="0"/>
          <w:iCs w:val="0"/>
        </w:rPr>
        <w:t xml:space="preserve"> Social Mobility Matrices of Hybrid Models (G7+C)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4A483018" w14:textId="77777777" w:rsidTr="0048671F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0D95A97C" w14:textId="3BF3A018" w:rsidR="004E1976" w:rsidRPr="009342BD" w:rsidRDefault="004E1976" w:rsidP="00607DB6">
            <w:pPr>
              <w:rPr>
                <w:b/>
              </w:rPr>
            </w:pPr>
            <w:r w:rsidRPr="009342BD">
              <w:rPr>
                <w:b/>
              </w:rPr>
              <w:t>Canada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4193BBE9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5B9CA685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3AD2418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444E7626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111769F2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05B80464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4E69F7FD" w14:textId="0C519B41" w:rsidR="004E1976" w:rsidRPr="009342BD" w:rsidRDefault="004E1976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B74A2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964EE2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5CFA63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FE69FA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3476A2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4D31F8" w:rsidRPr="009342BD" w14:paraId="1A68DE74" w14:textId="77777777" w:rsidTr="0048671F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8D1424" w14:textId="77777777" w:rsidR="004D31F8" w:rsidRPr="009342BD" w:rsidRDefault="004D31F8" w:rsidP="004D31F8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4AA289" w14:textId="59DCCD05" w:rsidR="004D31F8" w:rsidRPr="009342BD" w:rsidRDefault="004D31F8" w:rsidP="004D31F8">
            <w:pPr>
              <w:jc w:val="center"/>
            </w:pPr>
            <w:r w:rsidRPr="00A97D0A">
              <w:t>69.5%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4A4C8A" w14:textId="78AAC6E4" w:rsidR="004D31F8" w:rsidRPr="009342BD" w:rsidRDefault="004D31F8" w:rsidP="004D31F8">
            <w:pPr>
              <w:jc w:val="center"/>
            </w:pPr>
            <w:r w:rsidRPr="00A97D0A">
              <w:t>26.5%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67441F" w14:textId="04DF3BCD" w:rsidR="004D31F8" w:rsidRPr="009342BD" w:rsidRDefault="004D31F8" w:rsidP="004D31F8">
            <w:pPr>
              <w:jc w:val="center"/>
            </w:pPr>
            <w:r w:rsidRPr="00A97D0A">
              <w:t>4.0%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AD01A6" w14:textId="0FF8AD1F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51379" w14:textId="37C9F07C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</w:tr>
      <w:tr w:rsidR="004D31F8" w:rsidRPr="009342BD" w14:paraId="72FA8E99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442AC548" w14:textId="77777777" w:rsidR="004D31F8" w:rsidRPr="009342BD" w:rsidRDefault="004D31F8" w:rsidP="004D31F8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37DF3D63" w14:textId="10E81BF4" w:rsidR="004D31F8" w:rsidRPr="009342BD" w:rsidRDefault="004D31F8" w:rsidP="004D31F8">
            <w:pPr>
              <w:jc w:val="center"/>
            </w:pPr>
            <w:r w:rsidRPr="00A97D0A">
              <w:t>51.5%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A42DDD4" w14:textId="159C9C28" w:rsidR="004D31F8" w:rsidRPr="009342BD" w:rsidRDefault="004D31F8" w:rsidP="004D31F8">
            <w:pPr>
              <w:jc w:val="center"/>
            </w:pPr>
            <w:r w:rsidRPr="00A97D0A">
              <w:t>34.0%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244BFD8" w14:textId="33A2762C" w:rsidR="004D31F8" w:rsidRPr="009342BD" w:rsidRDefault="004D31F8" w:rsidP="004D31F8">
            <w:pPr>
              <w:jc w:val="center"/>
            </w:pPr>
            <w:r w:rsidRPr="00A97D0A">
              <w:t>14.5%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280934A" w14:textId="5AAC17F1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99F6535" w14:textId="2AC1F44F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</w:tr>
      <w:tr w:rsidR="004D31F8" w:rsidRPr="009342BD" w14:paraId="2A15BEBF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113D769A" w14:textId="77777777" w:rsidR="004D31F8" w:rsidRPr="009342BD" w:rsidRDefault="004D31F8" w:rsidP="004D31F8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7DFB9E86" w14:textId="68DA6F84" w:rsidR="004D31F8" w:rsidRPr="009342BD" w:rsidRDefault="004D31F8" w:rsidP="004D31F8">
            <w:pPr>
              <w:jc w:val="center"/>
            </w:pPr>
            <w:r w:rsidRPr="00A97D0A">
              <w:t>9.0%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8FD7DCE" w14:textId="3814CDC3" w:rsidR="004D31F8" w:rsidRPr="009342BD" w:rsidRDefault="004D31F8" w:rsidP="004D31F8">
            <w:pPr>
              <w:jc w:val="center"/>
            </w:pPr>
            <w:r w:rsidRPr="00A97D0A">
              <w:t>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FD01CE1" w14:textId="0CD53A64" w:rsidR="004D31F8" w:rsidRPr="009342BD" w:rsidRDefault="004D31F8" w:rsidP="004D31F8">
            <w:pPr>
              <w:jc w:val="center"/>
            </w:pPr>
            <w:r w:rsidRPr="00A97D0A">
              <w:t>75.0%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DF0C3CC" w14:textId="539962B7" w:rsidR="004D31F8" w:rsidRPr="009342BD" w:rsidRDefault="004D31F8" w:rsidP="004D31F8">
            <w:pPr>
              <w:jc w:val="center"/>
            </w:pPr>
            <w:r w:rsidRPr="00A97D0A">
              <w:t>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8943DDB" w14:textId="7567531C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</w:tr>
      <w:tr w:rsidR="004D31F8" w:rsidRPr="009342BD" w14:paraId="59E02D33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1F43641B" w14:textId="77777777" w:rsidR="004D31F8" w:rsidRPr="009342BD" w:rsidRDefault="004D31F8" w:rsidP="004D31F8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7764148E" w14:textId="5E256C8A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57586FE" w14:textId="1187CD9F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8C89E69" w14:textId="5ED37982" w:rsidR="004D31F8" w:rsidRPr="009342BD" w:rsidRDefault="004D31F8" w:rsidP="004D31F8">
            <w:pPr>
              <w:jc w:val="center"/>
            </w:pPr>
            <w:r w:rsidRPr="00A97D0A">
              <w:t>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371D757" w14:textId="20748133" w:rsidR="004D31F8" w:rsidRPr="009342BD" w:rsidRDefault="004D31F8" w:rsidP="004D31F8">
            <w:pPr>
              <w:jc w:val="center"/>
            </w:pPr>
            <w:r w:rsidRPr="00A97D0A">
              <w:t>89.0%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15F2376" w14:textId="374515DC" w:rsidR="004D31F8" w:rsidRPr="009342BD" w:rsidRDefault="004D31F8" w:rsidP="004D31F8">
            <w:pPr>
              <w:jc w:val="center"/>
            </w:pPr>
            <w:r w:rsidRPr="00A97D0A">
              <w:t>4.5%</w:t>
            </w:r>
          </w:p>
        </w:tc>
      </w:tr>
      <w:tr w:rsidR="004D31F8" w:rsidRPr="009342BD" w14:paraId="585E6A3F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32D45F" w14:textId="77777777" w:rsidR="004D31F8" w:rsidRPr="009342BD" w:rsidRDefault="004D31F8" w:rsidP="004D31F8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0A07FF" w14:textId="574043C5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E1800E" w14:textId="3757D97C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FA5854" w14:textId="53089092" w:rsidR="004D31F8" w:rsidRPr="009342BD" w:rsidRDefault="004D31F8" w:rsidP="004D31F8">
            <w:pPr>
              <w:jc w:val="center"/>
            </w:pPr>
            <w:r w:rsidRPr="00A97D0A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B4DAF" w14:textId="14DE0F7B" w:rsidR="004D31F8" w:rsidRPr="009342BD" w:rsidRDefault="004D31F8" w:rsidP="004D31F8">
            <w:pPr>
              <w:jc w:val="center"/>
            </w:pPr>
            <w:r w:rsidRPr="00A97D0A">
              <w:t>4.5%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7FEAC5" w14:textId="179EE5CC" w:rsidR="004D31F8" w:rsidRPr="009342BD" w:rsidRDefault="004D31F8" w:rsidP="004D31F8">
            <w:pPr>
              <w:jc w:val="center"/>
            </w:pPr>
            <w:r w:rsidRPr="00A97D0A">
              <w:t>95.5%</w:t>
            </w:r>
          </w:p>
        </w:tc>
      </w:tr>
    </w:tbl>
    <w:p w14:paraId="6EE59EA0" w14:textId="24AB97DC" w:rsidR="004E1976" w:rsidRPr="009342BD" w:rsidRDefault="004E1976" w:rsidP="00607DB6">
      <w:pPr>
        <w:pStyle w:val="bodyformat"/>
        <w:spacing w:beforeLines="0" w:before="0" w:afterLines="0"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53D1FBD4" w14:textId="77777777" w:rsidTr="0048671F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7A035A8E" w14:textId="0F644B5E" w:rsidR="004E1976" w:rsidRPr="009342BD" w:rsidRDefault="004E1976" w:rsidP="00607DB6">
            <w:pPr>
              <w:rPr>
                <w:b/>
              </w:rPr>
            </w:pPr>
            <w:r w:rsidRPr="009342BD">
              <w:rPr>
                <w:b/>
              </w:rPr>
              <w:t>China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6DB5F24B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781D190F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0F57515C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3D8E21B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5266FBAD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1800088A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39B6E801" w14:textId="15AC06D4" w:rsidR="004E1976" w:rsidRPr="009342BD" w:rsidRDefault="004E1976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EF4F19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BA38AA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1CAFA5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8B1746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089319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4D31F8" w:rsidRPr="009342BD" w14:paraId="4BF4ADEC" w14:textId="77777777" w:rsidTr="0048671F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546388" w14:textId="77777777" w:rsidR="004D31F8" w:rsidRPr="009342BD" w:rsidRDefault="004D31F8" w:rsidP="004D31F8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47B4A99" w14:textId="41346155" w:rsidR="004D31F8" w:rsidRPr="009342BD" w:rsidRDefault="004D31F8" w:rsidP="004D31F8">
            <w:pPr>
              <w:jc w:val="center"/>
            </w:pPr>
            <w:r w:rsidRPr="00C05EE7">
              <w:t>34.5%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E9A287" w14:textId="79530F98" w:rsidR="004D31F8" w:rsidRPr="009342BD" w:rsidRDefault="004D31F8" w:rsidP="004D31F8">
            <w:pPr>
              <w:jc w:val="center"/>
            </w:pPr>
            <w:r w:rsidRPr="00C05EE7">
              <w:t>44.5%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60CF1CE" w14:textId="0BB3B5C7" w:rsidR="004D31F8" w:rsidRPr="009342BD" w:rsidRDefault="004D31F8" w:rsidP="004D31F8">
            <w:pPr>
              <w:jc w:val="center"/>
            </w:pPr>
            <w:r w:rsidRPr="00C05EE7">
              <w:t>18.5%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A540BA" w14:textId="2ED3163A" w:rsidR="004D31F8" w:rsidRPr="009342BD" w:rsidRDefault="004D31F8" w:rsidP="004D31F8">
            <w:pPr>
              <w:jc w:val="center"/>
            </w:pPr>
            <w:r w:rsidRPr="00C05EE7">
              <w:t>2.5%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B1180E" w14:textId="2929BBE6" w:rsidR="004D31F8" w:rsidRPr="009342BD" w:rsidRDefault="004D31F8" w:rsidP="004D31F8">
            <w:pPr>
              <w:jc w:val="center"/>
            </w:pPr>
            <w:r w:rsidRPr="00C05EE7">
              <w:t>0.0%</w:t>
            </w:r>
          </w:p>
        </w:tc>
      </w:tr>
      <w:tr w:rsidR="004D31F8" w:rsidRPr="009342BD" w14:paraId="29FAC4AA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04C1129A" w14:textId="77777777" w:rsidR="004D31F8" w:rsidRPr="009342BD" w:rsidRDefault="004D31F8" w:rsidP="004D31F8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7DF34594" w14:textId="270875A9" w:rsidR="004D31F8" w:rsidRPr="009342BD" w:rsidRDefault="004D31F8" w:rsidP="004D31F8">
            <w:pPr>
              <w:jc w:val="center"/>
            </w:pPr>
            <w:r w:rsidRPr="00C05EE7">
              <w:t>36.0%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8C14256" w14:textId="4C43438B" w:rsidR="004D31F8" w:rsidRPr="009342BD" w:rsidRDefault="004D31F8" w:rsidP="004D31F8">
            <w:pPr>
              <w:jc w:val="center"/>
            </w:pPr>
            <w:r w:rsidRPr="00C05EE7">
              <w:t>36.5%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91ADBF3" w14:textId="7F9B2171" w:rsidR="004D31F8" w:rsidRPr="009342BD" w:rsidRDefault="004D31F8" w:rsidP="004D31F8">
            <w:pPr>
              <w:jc w:val="center"/>
            </w:pPr>
            <w:r w:rsidRPr="00C05EE7">
              <w:t>24.0%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674B2C0" w14:textId="3BD9DF89" w:rsidR="004D31F8" w:rsidRPr="009342BD" w:rsidRDefault="004D31F8" w:rsidP="004D31F8">
            <w:pPr>
              <w:jc w:val="center"/>
            </w:pPr>
            <w:r w:rsidRPr="00C05EE7">
              <w:t>3.5%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5FA2F70" w14:textId="22F60B00" w:rsidR="004D31F8" w:rsidRPr="009342BD" w:rsidRDefault="004D31F8" w:rsidP="004D31F8">
            <w:pPr>
              <w:jc w:val="center"/>
            </w:pPr>
            <w:r w:rsidRPr="00C05EE7">
              <w:t>0.0%</w:t>
            </w:r>
          </w:p>
        </w:tc>
      </w:tr>
      <w:tr w:rsidR="004D31F8" w:rsidRPr="009342BD" w14:paraId="4CFCCD5A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14577398" w14:textId="77777777" w:rsidR="004D31F8" w:rsidRPr="009342BD" w:rsidRDefault="004D31F8" w:rsidP="004D31F8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79FA4CC8" w14:textId="2486CB59" w:rsidR="004D31F8" w:rsidRPr="009342BD" w:rsidRDefault="004D31F8" w:rsidP="004D31F8">
            <w:pPr>
              <w:jc w:val="center"/>
            </w:pPr>
            <w:r w:rsidRPr="00C05EE7">
              <w:t>29.0%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2608833" w14:textId="7D0F40CB" w:rsidR="004D31F8" w:rsidRPr="009342BD" w:rsidRDefault="004D31F8" w:rsidP="004D31F8">
            <w:pPr>
              <w:jc w:val="center"/>
            </w:pPr>
            <w:r w:rsidRPr="00C05EE7">
              <w:t>29.5%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C55C39A" w14:textId="1BC5410C" w:rsidR="004D31F8" w:rsidRPr="009342BD" w:rsidRDefault="004D31F8" w:rsidP="004D31F8">
            <w:pPr>
              <w:jc w:val="center"/>
            </w:pPr>
            <w:r w:rsidRPr="00C05EE7">
              <w:t>29.0%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13DB1D4" w14:textId="087ABDA1" w:rsidR="004D31F8" w:rsidRPr="009342BD" w:rsidRDefault="004D31F8" w:rsidP="004D31F8">
            <w:pPr>
              <w:jc w:val="center"/>
            </w:pPr>
            <w:r w:rsidRPr="00C05EE7">
              <w:t>12.5%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6DBE569" w14:textId="35AF79B7" w:rsidR="004D31F8" w:rsidRPr="009342BD" w:rsidRDefault="004D31F8" w:rsidP="004D31F8">
            <w:pPr>
              <w:jc w:val="center"/>
            </w:pPr>
            <w:r w:rsidRPr="00C05EE7">
              <w:t>0.0%</w:t>
            </w:r>
          </w:p>
        </w:tc>
      </w:tr>
      <w:tr w:rsidR="004D31F8" w:rsidRPr="009342BD" w14:paraId="7248AE8A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195ED83B" w14:textId="77777777" w:rsidR="004D31F8" w:rsidRPr="009342BD" w:rsidRDefault="004D31F8" w:rsidP="004D31F8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6699FD70" w14:textId="6E47BE4D" w:rsidR="004D31F8" w:rsidRPr="009342BD" w:rsidRDefault="004D31F8" w:rsidP="004D31F8">
            <w:pPr>
              <w:jc w:val="center"/>
            </w:pPr>
            <w:r w:rsidRPr="00C05EE7">
              <w:t>0.5%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C9C9FC2" w14:textId="6672E756" w:rsidR="004D31F8" w:rsidRPr="009342BD" w:rsidRDefault="004D31F8" w:rsidP="004D31F8">
            <w:pPr>
              <w:jc w:val="center"/>
            </w:pPr>
            <w:r w:rsidRPr="00C05EE7">
              <w:t>3.0%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FA9A8CC" w14:textId="644B1303" w:rsidR="004D31F8" w:rsidRPr="009342BD" w:rsidRDefault="004D31F8" w:rsidP="004D31F8">
            <w:pPr>
              <w:jc w:val="center"/>
            </w:pPr>
            <w:r w:rsidRPr="00C05EE7">
              <w:t>15.0%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ABD735A" w14:textId="45C6AF46" w:rsidR="004D31F8" w:rsidRPr="009342BD" w:rsidRDefault="004D31F8" w:rsidP="004D31F8">
            <w:pPr>
              <w:jc w:val="center"/>
            </w:pPr>
            <w:r w:rsidRPr="00C05EE7">
              <w:t>73.0%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0FF03FC" w14:textId="722CD08E" w:rsidR="004D31F8" w:rsidRPr="009342BD" w:rsidRDefault="004D31F8" w:rsidP="004D31F8">
            <w:pPr>
              <w:jc w:val="center"/>
            </w:pPr>
            <w:r w:rsidRPr="00C05EE7">
              <w:t>8.5%</w:t>
            </w:r>
          </w:p>
        </w:tc>
      </w:tr>
      <w:tr w:rsidR="004D31F8" w:rsidRPr="009342BD" w14:paraId="574AD686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5CD5B9" w14:textId="77777777" w:rsidR="004D31F8" w:rsidRPr="009342BD" w:rsidRDefault="004D31F8" w:rsidP="004D31F8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800222" w14:textId="76E57DC4" w:rsidR="004D31F8" w:rsidRPr="009342BD" w:rsidRDefault="004D31F8" w:rsidP="004D31F8">
            <w:pPr>
              <w:jc w:val="center"/>
            </w:pPr>
            <w:r w:rsidRPr="00C05EE7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EA9B8" w14:textId="4D247A30" w:rsidR="004D31F8" w:rsidRPr="009342BD" w:rsidRDefault="004D31F8" w:rsidP="004D31F8">
            <w:pPr>
              <w:jc w:val="center"/>
            </w:pPr>
            <w:r w:rsidRPr="00C05EE7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21C9BE" w14:textId="702A64CD" w:rsidR="004D31F8" w:rsidRPr="009342BD" w:rsidRDefault="004D31F8" w:rsidP="004D31F8">
            <w:pPr>
              <w:jc w:val="center"/>
            </w:pPr>
            <w:r w:rsidRPr="00C05EE7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4545F4" w14:textId="6C282C0D" w:rsidR="004D31F8" w:rsidRPr="009342BD" w:rsidRDefault="004D31F8" w:rsidP="004D31F8">
            <w:pPr>
              <w:jc w:val="center"/>
            </w:pPr>
            <w:r w:rsidRPr="00C05EE7">
              <w:t>8.5%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9989DF" w14:textId="0A91A579" w:rsidR="004D31F8" w:rsidRPr="009342BD" w:rsidRDefault="004D31F8" w:rsidP="004D31F8">
            <w:pPr>
              <w:jc w:val="center"/>
            </w:pPr>
            <w:r w:rsidRPr="00C05EE7">
              <w:t>91.5%</w:t>
            </w:r>
          </w:p>
        </w:tc>
      </w:tr>
    </w:tbl>
    <w:p w14:paraId="4F41FAF0" w14:textId="242DF1A9" w:rsidR="004E1976" w:rsidRPr="009342BD" w:rsidRDefault="004E1976" w:rsidP="00607DB6">
      <w:pPr>
        <w:pStyle w:val="bodyformat"/>
        <w:spacing w:beforeLines="0" w:before="0" w:afterLines="0"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41389204" w14:textId="77777777" w:rsidTr="0048671F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31449A56" w14:textId="6A87C3ED" w:rsidR="004E1976" w:rsidRPr="009342BD" w:rsidRDefault="004E1976" w:rsidP="00607DB6">
            <w:pPr>
              <w:rPr>
                <w:b/>
              </w:rPr>
            </w:pPr>
            <w:r w:rsidRPr="009342BD">
              <w:rPr>
                <w:b/>
              </w:rPr>
              <w:t>France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2FE1A438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7E65BD0D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0128B38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0273A19D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90BB557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22271D3F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324671E7" w14:textId="6E08B625" w:rsidR="004E1976" w:rsidRPr="009342BD" w:rsidRDefault="004E1976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8C8B93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36C61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1A73F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A9E5D7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E34DA8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4D31F8" w:rsidRPr="009342BD" w14:paraId="4699C58E" w14:textId="77777777" w:rsidTr="0048671F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99ACFD" w14:textId="77777777" w:rsidR="004D31F8" w:rsidRPr="009342BD" w:rsidRDefault="004D31F8" w:rsidP="004D31F8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8E3B1B" w14:textId="1DA147DD" w:rsidR="004D31F8" w:rsidRPr="009342BD" w:rsidRDefault="004D31F8" w:rsidP="004D31F8">
            <w:pPr>
              <w:jc w:val="center"/>
            </w:pPr>
            <w:r w:rsidRPr="00063FDF">
              <w:t>66.0%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7E4270" w14:textId="16900EA0" w:rsidR="004D31F8" w:rsidRPr="009342BD" w:rsidRDefault="004D31F8" w:rsidP="004D31F8">
            <w:pPr>
              <w:jc w:val="center"/>
            </w:pPr>
            <w:r w:rsidRPr="00063FDF">
              <w:t>32.5%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C7B567" w14:textId="6F16BFC6" w:rsidR="004D31F8" w:rsidRPr="009342BD" w:rsidRDefault="004D31F8" w:rsidP="004D31F8">
            <w:pPr>
              <w:jc w:val="center"/>
            </w:pPr>
            <w:r w:rsidRPr="00063FDF">
              <w:t>1.5%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870DC8" w14:textId="542A3AD3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C287192" w14:textId="1CFF6AB7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</w:tr>
      <w:tr w:rsidR="004D31F8" w:rsidRPr="009342BD" w14:paraId="7F226172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143CB86C" w14:textId="77777777" w:rsidR="004D31F8" w:rsidRPr="009342BD" w:rsidRDefault="004D31F8" w:rsidP="004D31F8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787BC6EC" w14:textId="599840C3" w:rsidR="004D31F8" w:rsidRPr="009342BD" w:rsidRDefault="004D31F8" w:rsidP="004D31F8">
            <w:pPr>
              <w:jc w:val="center"/>
            </w:pPr>
            <w:r w:rsidRPr="00063FDF">
              <w:t>46.5%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F8B34B6" w14:textId="375BB517" w:rsidR="004D31F8" w:rsidRPr="009342BD" w:rsidRDefault="004D31F8" w:rsidP="004D31F8">
            <w:pPr>
              <w:jc w:val="center"/>
            </w:pPr>
            <w:r w:rsidRPr="00063FDF">
              <w:t>44.0%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A71F006" w14:textId="12BEBF45" w:rsidR="004D31F8" w:rsidRPr="009342BD" w:rsidRDefault="004D31F8" w:rsidP="004D31F8">
            <w:pPr>
              <w:jc w:val="center"/>
            </w:pPr>
            <w:r w:rsidRPr="00063FDF">
              <w:t>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0120213" w14:textId="69FCBC94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DE68252" w14:textId="40F73B5F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</w:tr>
      <w:tr w:rsidR="004D31F8" w:rsidRPr="009342BD" w14:paraId="38AC4099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65015490" w14:textId="77777777" w:rsidR="004D31F8" w:rsidRPr="009342BD" w:rsidRDefault="004D31F8" w:rsidP="004D31F8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7F1605C7" w14:textId="05B6ACD2" w:rsidR="004D31F8" w:rsidRPr="009342BD" w:rsidRDefault="004D31F8" w:rsidP="004D31F8">
            <w:pPr>
              <w:jc w:val="center"/>
            </w:pPr>
            <w:r w:rsidRPr="00063FDF">
              <w:t>1.5%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AE8B1F6" w14:textId="36EC9145" w:rsidR="004D31F8" w:rsidRPr="009342BD" w:rsidRDefault="004D31F8" w:rsidP="004D31F8">
            <w:pPr>
              <w:jc w:val="center"/>
            </w:pPr>
            <w:r w:rsidRPr="00063FDF">
              <w:t>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BFFD7DA" w14:textId="5A8F530E" w:rsidR="004D31F8" w:rsidRPr="009342BD" w:rsidRDefault="004D31F8" w:rsidP="004D31F8">
            <w:pPr>
              <w:jc w:val="center"/>
            </w:pPr>
            <w:r w:rsidRPr="00063FDF">
              <w:t>82.0%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108837D" w14:textId="7FF4A3C8" w:rsidR="004D31F8" w:rsidRPr="009342BD" w:rsidRDefault="004D31F8" w:rsidP="004D31F8">
            <w:pPr>
              <w:jc w:val="center"/>
            </w:pPr>
            <w:r w:rsidRPr="00063FDF">
              <w:t>7.0%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EA91C36" w14:textId="0C18D042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</w:tr>
      <w:tr w:rsidR="004D31F8" w:rsidRPr="009342BD" w14:paraId="185D7FF1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43370686" w14:textId="77777777" w:rsidR="004D31F8" w:rsidRPr="009342BD" w:rsidRDefault="004D31F8" w:rsidP="004D31F8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31020D76" w14:textId="4CF68841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6CB25FC" w14:textId="33BBC211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A7CFE47" w14:textId="2F9A973A" w:rsidR="004D31F8" w:rsidRPr="009342BD" w:rsidRDefault="004D31F8" w:rsidP="004D31F8">
            <w:pPr>
              <w:jc w:val="center"/>
            </w:pPr>
            <w:r w:rsidRPr="00063FDF">
              <w:t>7.0%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833B972" w14:textId="4D29E689" w:rsidR="004D31F8" w:rsidRPr="009342BD" w:rsidRDefault="004D31F8" w:rsidP="004D31F8">
            <w:pPr>
              <w:jc w:val="center"/>
            </w:pPr>
            <w:r w:rsidRPr="00063FDF">
              <w:t>89.0%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35E011D" w14:textId="08FF299D" w:rsidR="004D31F8" w:rsidRPr="009342BD" w:rsidRDefault="004D31F8" w:rsidP="004D31F8">
            <w:pPr>
              <w:jc w:val="center"/>
            </w:pPr>
            <w:r w:rsidRPr="00063FDF">
              <w:t>4.0%</w:t>
            </w:r>
          </w:p>
        </w:tc>
      </w:tr>
      <w:tr w:rsidR="004D31F8" w:rsidRPr="009342BD" w14:paraId="5087B3E2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20230" w14:textId="77777777" w:rsidR="004D31F8" w:rsidRPr="009342BD" w:rsidRDefault="004D31F8" w:rsidP="004D31F8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1AC9C6" w14:textId="639272F4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BB7EB4" w14:textId="2FC2B884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F8AE0F" w14:textId="5530AEBD" w:rsidR="004D31F8" w:rsidRPr="009342BD" w:rsidRDefault="004D31F8" w:rsidP="004D31F8">
            <w:pPr>
              <w:jc w:val="center"/>
            </w:pPr>
            <w:r w:rsidRPr="00063FD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3A5A3B" w14:textId="3E3F9829" w:rsidR="004D31F8" w:rsidRPr="009342BD" w:rsidRDefault="004D31F8" w:rsidP="004D31F8">
            <w:pPr>
              <w:jc w:val="center"/>
            </w:pPr>
            <w:r w:rsidRPr="00063FDF">
              <w:t>4.0%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448C1" w14:textId="7C658D6D" w:rsidR="004D31F8" w:rsidRPr="009342BD" w:rsidRDefault="004D31F8" w:rsidP="004D31F8">
            <w:pPr>
              <w:jc w:val="center"/>
            </w:pPr>
            <w:r w:rsidRPr="00063FDF">
              <w:t>96.0%</w:t>
            </w:r>
          </w:p>
        </w:tc>
      </w:tr>
    </w:tbl>
    <w:p w14:paraId="611CF430" w14:textId="704E4BD6" w:rsidR="004E1976" w:rsidRPr="009342BD" w:rsidRDefault="004E1976" w:rsidP="00607DB6">
      <w:pPr>
        <w:pStyle w:val="bodyformat"/>
        <w:spacing w:beforeLines="0" w:before="0" w:afterLines="0"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70F85D0E" w14:textId="77777777" w:rsidTr="0048671F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2ED0B439" w14:textId="65FEA400" w:rsidR="004E1976" w:rsidRPr="009342BD" w:rsidRDefault="004E1976" w:rsidP="00607DB6">
            <w:pPr>
              <w:rPr>
                <w:b/>
              </w:rPr>
            </w:pPr>
            <w:r w:rsidRPr="009342BD">
              <w:rPr>
                <w:b/>
              </w:rPr>
              <w:t>Germany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179ECB65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41EDAF9E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567716A4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31AC6E0A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3F065504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73E99596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0316E3CA" w14:textId="5AACB8BB" w:rsidR="004E1976" w:rsidRPr="009342BD" w:rsidRDefault="004E1976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2D800C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9600AA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A43BFE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E6EFE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14D986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4D31F8" w:rsidRPr="009342BD" w14:paraId="1AD0735D" w14:textId="77777777" w:rsidTr="0048671F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1C8643" w14:textId="77777777" w:rsidR="004D31F8" w:rsidRPr="009342BD" w:rsidRDefault="004D31F8" w:rsidP="004D31F8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57B266" w14:textId="55CB417D" w:rsidR="004D31F8" w:rsidRPr="009342BD" w:rsidRDefault="004D31F8" w:rsidP="004D31F8">
            <w:pPr>
              <w:jc w:val="center"/>
            </w:pPr>
            <w:r w:rsidRPr="00EE1AED">
              <w:t>68.5%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63C8C6" w14:textId="12517B21" w:rsidR="004D31F8" w:rsidRPr="009342BD" w:rsidRDefault="004D31F8" w:rsidP="004D31F8">
            <w:pPr>
              <w:jc w:val="center"/>
            </w:pPr>
            <w:r w:rsidRPr="00EE1AED">
              <w:t>21.5%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1A25FB" w14:textId="5F1B9BE6" w:rsidR="004D31F8" w:rsidRPr="009342BD" w:rsidRDefault="004D31F8" w:rsidP="004D31F8">
            <w:pPr>
              <w:jc w:val="center"/>
            </w:pPr>
            <w:r w:rsidRPr="00EE1AED">
              <w:t>10.0%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2FBDB1" w14:textId="37763172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8CE8EC" w14:textId="4352DC52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</w:tr>
      <w:tr w:rsidR="004D31F8" w:rsidRPr="009342BD" w14:paraId="6DEDE6FF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49E67127" w14:textId="77777777" w:rsidR="004D31F8" w:rsidRPr="009342BD" w:rsidRDefault="004D31F8" w:rsidP="004D31F8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288FD21E" w14:textId="5A132F3F" w:rsidR="004D31F8" w:rsidRPr="009342BD" w:rsidRDefault="004D31F8" w:rsidP="004D31F8">
            <w:pPr>
              <w:jc w:val="center"/>
            </w:pPr>
            <w:r w:rsidRPr="00EE1AED">
              <w:t>59.5%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07C806C" w14:textId="371CE1EE" w:rsidR="004D31F8" w:rsidRPr="009342BD" w:rsidRDefault="004D31F8" w:rsidP="004D31F8">
            <w:pPr>
              <w:jc w:val="center"/>
            </w:pPr>
            <w:r w:rsidRPr="00EE1AED">
              <w:t>25.5%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3577990" w14:textId="24E9465B" w:rsidR="004D31F8" w:rsidRPr="009342BD" w:rsidRDefault="004D31F8" w:rsidP="004D31F8">
            <w:pPr>
              <w:jc w:val="center"/>
            </w:pPr>
            <w:r w:rsidRPr="00EE1AED">
              <w:t>15.0%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DDF6A58" w14:textId="4C74749C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EFF946D" w14:textId="670F4134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</w:tr>
      <w:tr w:rsidR="004D31F8" w:rsidRPr="009342BD" w14:paraId="486A945C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5AC3B6D3" w14:textId="77777777" w:rsidR="004D31F8" w:rsidRPr="009342BD" w:rsidRDefault="004D31F8" w:rsidP="004D31F8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2149B5F7" w14:textId="34C2B1E0" w:rsidR="004D31F8" w:rsidRPr="009342BD" w:rsidRDefault="004D31F8" w:rsidP="004D31F8">
            <w:pPr>
              <w:jc w:val="center"/>
            </w:pPr>
            <w:r w:rsidRPr="00EE1AED">
              <w:t>14.0%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3D67B21" w14:textId="14D444E2" w:rsidR="004D31F8" w:rsidRPr="009342BD" w:rsidRDefault="004D31F8" w:rsidP="004D31F8">
            <w:pPr>
              <w:jc w:val="center"/>
            </w:pPr>
            <w:r w:rsidRPr="00EE1AED">
              <w:t>11.0%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63E75E1" w14:textId="32F7FEDA" w:rsidR="004D31F8" w:rsidRPr="009342BD" w:rsidRDefault="004D31F8" w:rsidP="004D31F8">
            <w:pPr>
              <w:jc w:val="center"/>
            </w:pPr>
            <w:r w:rsidRPr="00EE1AED">
              <w:t>69.5%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53D3139" w14:textId="55FFD311" w:rsidR="004D31F8" w:rsidRPr="009342BD" w:rsidRDefault="004D31F8" w:rsidP="004D31F8">
            <w:pPr>
              <w:jc w:val="center"/>
            </w:pPr>
            <w:r w:rsidRPr="00EE1AED">
              <w:t>5.5%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796348C" w14:textId="0B479A4D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</w:tr>
      <w:tr w:rsidR="004D31F8" w:rsidRPr="009342BD" w14:paraId="0B35C19A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3BCA5B6C" w14:textId="77777777" w:rsidR="004D31F8" w:rsidRPr="009342BD" w:rsidRDefault="004D31F8" w:rsidP="004D31F8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5D221B72" w14:textId="28E16C17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083BCC2" w14:textId="7307CE98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8ED17DF" w14:textId="0C4790B6" w:rsidR="004D31F8" w:rsidRPr="009342BD" w:rsidRDefault="004D31F8" w:rsidP="004D31F8">
            <w:pPr>
              <w:jc w:val="center"/>
            </w:pPr>
            <w:r w:rsidRPr="00EE1AED">
              <w:t>5.5%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AB9A519" w14:textId="4FB7CE0E" w:rsidR="004D31F8" w:rsidRPr="009342BD" w:rsidRDefault="004D31F8" w:rsidP="004D31F8">
            <w:pPr>
              <w:jc w:val="center"/>
            </w:pPr>
            <w:r w:rsidRPr="00EE1AED">
              <w:t>90.0%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EFF8247" w14:textId="2655423A" w:rsidR="004D31F8" w:rsidRPr="009342BD" w:rsidRDefault="004D31F8" w:rsidP="004D31F8">
            <w:pPr>
              <w:jc w:val="center"/>
            </w:pPr>
            <w:r w:rsidRPr="00EE1AED">
              <w:t>4.5%</w:t>
            </w:r>
          </w:p>
        </w:tc>
      </w:tr>
      <w:tr w:rsidR="004D31F8" w:rsidRPr="009342BD" w14:paraId="1B281278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50E253" w14:textId="77777777" w:rsidR="004D31F8" w:rsidRPr="009342BD" w:rsidRDefault="004D31F8" w:rsidP="004D31F8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75887" w14:textId="68080B6B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DC0CBC" w14:textId="1217AF7D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E14C08" w14:textId="6514AC77" w:rsidR="004D31F8" w:rsidRPr="009342BD" w:rsidRDefault="004D31F8" w:rsidP="004D31F8">
            <w:pPr>
              <w:jc w:val="center"/>
            </w:pPr>
            <w:r w:rsidRPr="00EE1AED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2EB08A" w14:textId="7C6549A8" w:rsidR="004D31F8" w:rsidRPr="009342BD" w:rsidRDefault="004D31F8" w:rsidP="004D31F8">
            <w:pPr>
              <w:jc w:val="center"/>
            </w:pPr>
            <w:r w:rsidRPr="00EE1AED">
              <w:t>4.5%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76B9B" w14:textId="0D1E8D56" w:rsidR="004D31F8" w:rsidRPr="009342BD" w:rsidRDefault="004D31F8" w:rsidP="004D31F8">
            <w:pPr>
              <w:jc w:val="center"/>
            </w:pPr>
            <w:r w:rsidRPr="00EE1AED">
              <w:t>95.5%</w:t>
            </w:r>
          </w:p>
        </w:tc>
      </w:tr>
    </w:tbl>
    <w:p w14:paraId="5D086A01" w14:textId="3D6D113E" w:rsidR="004E1976" w:rsidRPr="009342BD" w:rsidRDefault="004E1976" w:rsidP="00607DB6">
      <w:pPr>
        <w:pStyle w:val="bodyformat"/>
        <w:spacing w:beforeLines="0" w:before="0" w:afterLines="0"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76193D1B" w14:textId="77777777" w:rsidTr="0048671F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26D7A02D" w14:textId="5A7F803C" w:rsidR="004E1976" w:rsidRPr="009342BD" w:rsidRDefault="004E1976" w:rsidP="00607DB6">
            <w:pPr>
              <w:rPr>
                <w:b/>
              </w:rPr>
            </w:pPr>
            <w:r w:rsidRPr="009342BD">
              <w:rPr>
                <w:b/>
              </w:rPr>
              <w:t>Italy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3928A2D5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66FB9FF7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5E34B7B9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7790AC0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699E39B8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68949581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414A18EA" w14:textId="0700B57E" w:rsidR="004E1976" w:rsidRPr="009342BD" w:rsidRDefault="004E1976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AA9642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53463A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A20A0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824FD8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3E1ABE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4D31F8" w:rsidRPr="009342BD" w14:paraId="5BB19F22" w14:textId="77777777" w:rsidTr="0048671F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875B1" w14:textId="77777777" w:rsidR="004D31F8" w:rsidRPr="009342BD" w:rsidRDefault="004D31F8" w:rsidP="004D31F8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07DC7F" w14:textId="7DD49EC5" w:rsidR="004D31F8" w:rsidRPr="009342BD" w:rsidRDefault="004D31F8" w:rsidP="004D31F8">
            <w:pPr>
              <w:jc w:val="center"/>
            </w:pPr>
            <w:r w:rsidRPr="00D803E8">
              <w:t>69.0%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A2BBC5" w14:textId="70FC0A35" w:rsidR="004D31F8" w:rsidRPr="009342BD" w:rsidRDefault="004D31F8" w:rsidP="004D31F8">
            <w:pPr>
              <w:jc w:val="center"/>
            </w:pPr>
            <w:r w:rsidRPr="00D803E8">
              <w:t>30.5%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0A40EB" w14:textId="4CC2E174" w:rsidR="004D31F8" w:rsidRPr="009342BD" w:rsidRDefault="004D31F8" w:rsidP="004D31F8">
            <w:pPr>
              <w:jc w:val="center"/>
            </w:pPr>
            <w:r w:rsidRPr="00D803E8">
              <w:t>0.5%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6954BC" w14:textId="78B30876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E47036" w14:textId="6B32B019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</w:tr>
      <w:tr w:rsidR="004D31F8" w:rsidRPr="009342BD" w14:paraId="10EF9664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4832BB2F" w14:textId="77777777" w:rsidR="004D31F8" w:rsidRPr="009342BD" w:rsidRDefault="004D31F8" w:rsidP="004D31F8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5D43E020" w14:textId="4E49EE7B" w:rsidR="004D31F8" w:rsidRPr="009342BD" w:rsidRDefault="004D31F8" w:rsidP="004D31F8">
            <w:pPr>
              <w:jc w:val="center"/>
            </w:pPr>
            <w:r w:rsidRPr="00D803E8">
              <w:t>36.5%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FFA149A" w14:textId="3C3FE633" w:rsidR="004D31F8" w:rsidRPr="009342BD" w:rsidRDefault="004D31F8" w:rsidP="004D31F8">
            <w:pPr>
              <w:jc w:val="center"/>
            </w:pPr>
            <w:r w:rsidRPr="00D803E8">
              <w:t>53.5%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7F51DC8" w14:textId="12F21009" w:rsidR="004D31F8" w:rsidRPr="009342BD" w:rsidRDefault="004D31F8" w:rsidP="004D31F8">
            <w:pPr>
              <w:jc w:val="center"/>
            </w:pPr>
            <w:r w:rsidRPr="00D803E8">
              <w:t>10.0%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1844038" w14:textId="0E1AB855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9A097E3" w14:textId="51937CA8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</w:tr>
      <w:tr w:rsidR="004D31F8" w:rsidRPr="009342BD" w14:paraId="3A40ACA4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52693346" w14:textId="77777777" w:rsidR="004D31F8" w:rsidRPr="009342BD" w:rsidRDefault="004D31F8" w:rsidP="004D31F8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28E0E012" w14:textId="123A6FAB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600CBA2" w14:textId="6C72960C" w:rsidR="004D31F8" w:rsidRPr="009342BD" w:rsidRDefault="004D31F8" w:rsidP="004D31F8">
            <w:pPr>
              <w:jc w:val="center"/>
            </w:pPr>
            <w:r w:rsidRPr="00D803E8">
              <w:t>10.5%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790EF6C" w14:textId="466FB6E0" w:rsidR="004D31F8" w:rsidRPr="009342BD" w:rsidRDefault="004D31F8" w:rsidP="004D31F8">
            <w:pPr>
              <w:jc w:val="center"/>
            </w:pPr>
            <w:r w:rsidRPr="00D803E8">
              <w:t>83.0%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E3DFFD1" w14:textId="703B47E7" w:rsidR="004D31F8" w:rsidRPr="009342BD" w:rsidRDefault="004D31F8" w:rsidP="004D31F8">
            <w:pPr>
              <w:jc w:val="center"/>
            </w:pPr>
            <w:r w:rsidRPr="00D803E8">
              <w:t>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B8BB8E2" w14:textId="65B0F410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</w:tr>
      <w:tr w:rsidR="004D31F8" w:rsidRPr="009342BD" w14:paraId="61C49108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5E2BD0D7" w14:textId="77777777" w:rsidR="004D31F8" w:rsidRPr="009342BD" w:rsidRDefault="004D31F8" w:rsidP="004D31F8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51F7A9F6" w14:textId="3BFAA562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54024C0" w14:textId="4770457A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8CEA02F" w14:textId="07047A69" w:rsidR="004D31F8" w:rsidRPr="009342BD" w:rsidRDefault="004D31F8" w:rsidP="004D31F8">
            <w:pPr>
              <w:jc w:val="center"/>
            </w:pPr>
            <w:r w:rsidRPr="00D803E8">
              <w:t>6.5%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9E3FB06" w14:textId="03356630" w:rsidR="004D31F8" w:rsidRPr="009342BD" w:rsidRDefault="004D31F8" w:rsidP="004D31F8">
            <w:pPr>
              <w:jc w:val="center"/>
            </w:pPr>
            <w:r w:rsidRPr="00D803E8">
              <w:t>90.0%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A21E7C0" w14:textId="711525D3" w:rsidR="004D31F8" w:rsidRPr="009342BD" w:rsidRDefault="004D31F8" w:rsidP="004D31F8">
            <w:pPr>
              <w:jc w:val="center"/>
            </w:pPr>
            <w:r w:rsidRPr="00D803E8">
              <w:t>3.5%</w:t>
            </w:r>
          </w:p>
        </w:tc>
      </w:tr>
      <w:tr w:rsidR="004D31F8" w:rsidRPr="009342BD" w14:paraId="37983C2E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FCC968" w14:textId="77777777" w:rsidR="004D31F8" w:rsidRPr="009342BD" w:rsidRDefault="004D31F8" w:rsidP="004D31F8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C76B08" w14:textId="1A26DD4B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61D9FD" w14:textId="1CFC21D2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48EB6" w14:textId="115D312D" w:rsidR="004D31F8" w:rsidRPr="009342BD" w:rsidRDefault="004D31F8" w:rsidP="004D31F8">
            <w:pPr>
              <w:jc w:val="center"/>
            </w:pPr>
            <w:r w:rsidRPr="00D803E8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13A0C1" w14:textId="526955AD" w:rsidR="004D31F8" w:rsidRPr="009342BD" w:rsidRDefault="004D31F8" w:rsidP="004D31F8">
            <w:pPr>
              <w:jc w:val="center"/>
            </w:pPr>
            <w:r w:rsidRPr="00D803E8">
              <w:t>3.5%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0ACE47" w14:textId="1FADDEBD" w:rsidR="004D31F8" w:rsidRPr="009342BD" w:rsidRDefault="004D31F8" w:rsidP="004D31F8">
            <w:pPr>
              <w:jc w:val="center"/>
            </w:pPr>
            <w:r w:rsidRPr="00D803E8">
              <w:t>96.5%</w:t>
            </w:r>
          </w:p>
        </w:tc>
      </w:tr>
    </w:tbl>
    <w:p w14:paraId="2DF3594B" w14:textId="29BBE058" w:rsidR="004E1976" w:rsidRPr="009342BD" w:rsidRDefault="004E1976" w:rsidP="00607DB6">
      <w:pPr>
        <w:pStyle w:val="bodyformat"/>
        <w:spacing w:beforeLines="0" w:before="0" w:afterLines="0"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5E24E895" w14:textId="77777777" w:rsidTr="0048671F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6BB55E4C" w14:textId="4F8A384A" w:rsidR="004E1976" w:rsidRPr="009342BD" w:rsidRDefault="004E1976" w:rsidP="00607DB6">
            <w:pPr>
              <w:rPr>
                <w:b/>
              </w:rPr>
            </w:pPr>
            <w:r w:rsidRPr="009342BD">
              <w:rPr>
                <w:b/>
              </w:rPr>
              <w:t>Japan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27EF7176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7E08C6B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6C77A276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44A06E8C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59BDB711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292BB1EF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48FB7B10" w14:textId="20DDE2C8" w:rsidR="004E1976" w:rsidRPr="009342BD" w:rsidRDefault="004E1976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ACF3F8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186528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ED974E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D27B35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D5B12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C730D1" w:rsidRPr="009342BD" w14:paraId="2A652D38" w14:textId="77777777" w:rsidTr="0048671F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55E2FD" w14:textId="77777777" w:rsidR="00C730D1" w:rsidRPr="009342BD" w:rsidRDefault="00C730D1" w:rsidP="00C730D1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F1AA1F" w14:textId="6135ACB5" w:rsidR="00C730D1" w:rsidRPr="009342BD" w:rsidRDefault="00C730D1" w:rsidP="00C730D1">
            <w:pPr>
              <w:jc w:val="center"/>
            </w:pPr>
            <w:r w:rsidRPr="00A21FFB">
              <w:t>75.5%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185987" w14:textId="302389DB" w:rsidR="00C730D1" w:rsidRPr="009342BD" w:rsidRDefault="00C730D1" w:rsidP="00C730D1">
            <w:pPr>
              <w:jc w:val="center"/>
            </w:pPr>
            <w:r w:rsidRPr="00A21FFB">
              <w:t>24.5%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2F69F5" w14:textId="7F3820B5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00B4A4" w14:textId="217FDB33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1EF335" w14:textId="0FFCE73C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</w:tr>
      <w:tr w:rsidR="00C730D1" w:rsidRPr="009342BD" w14:paraId="0CFA978B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06848594" w14:textId="77777777" w:rsidR="00C730D1" w:rsidRPr="009342BD" w:rsidRDefault="00C730D1" w:rsidP="00C730D1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25053624" w14:textId="46BCE237" w:rsidR="00C730D1" w:rsidRPr="009342BD" w:rsidRDefault="00C730D1" w:rsidP="00C730D1">
            <w:pPr>
              <w:jc w:val="center"/>
            </w:pPr>
            <w:r w:rsidRPr="00A21FFB">
              <w:t>24.5%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3FABF78" w14:textId="2DD19DB0" w:rsidR="00C730D1" w:rsidRPr="009342BD" w:rsidRDefault="00C730D1" w:rsidP="00C730D1">
            <w:pPr>
              <w:jc w:val="center"/>
            </w:pPr>
            <w:r w:rsidRPr="00A21FFB">
              <w:t>60.0%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59047DE" w14:textId="25EAFA29" w:rsidR="00C730D1" w:rsidRPr="009342BD" w:rsidRDefault="00C730D1" w:rsidP="00C730D1">
            <w:pPr>
              <w:jc w:val="center"/>
            </w:pPr>
            <w:r w:rsidRPr="00A21FFB">
              <w:t>15.5%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B21F15C" w14:textId="0569B54A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0350482" w14:textId="4E4FF1A1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</w:tr>
      <w:tr w:rsidR="00C730D1" w:rsidRPr="009342BD" w14:paraId="34A45C54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04945856" w14:textId="77777777" w:rsidR="00C730D1" w:rsidRPr="009342BD" w:rsidRDefault="00C730D1" w:rsidP="00C730D1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4A0D9CDF" w14:textId="486ECF7E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747E618" w14:textId="4C3AB7F2" w:rsidR="00C730D1" w:rsidRPr="009342BD" w:rsidRDefault="00C730D1" w:rsidP="00C730D1">
            <w:pPr>
              <w:jc w:val="center"/>
            </w:pPr>
            <w:r w:rsidRPr="00A21FFB">
              <w:t>15.5%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C52D373" w14:textId="02FCB05C" w:rsidR="00C730D1" w:rsidRPr="009342BD" w:rsidRDefault="00C730D1" w:rsidP="00C730D1">
            <w:pPr>
              <w:jc w:val="center"/>
            </w:pPr>
            <w:r w:rsidRPr="00A21FFB">
              <w:t>74.5%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086CD7A" w14:textId="158A27E4" w:rsidR="00C730D1" w:rsidRPr="009342BD" w:rsidRDefault="00C730D1" w:rsidP="00C730D1">
            <w:pPr>
              <w:jc w:val="center"/>
            </w:pPr>
            <w:r w:rsidRPr="00A21FFB">
              <w:t>10.0%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E858DFA" w14:textId="73818E0C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</w:tr>
      <w:tr w:rsidR="00C730D1" w:rsidRPr="009342BD" w14:paraId="4FEBC893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2076D850" w14:textId="77777777" w:rsidR="00C730D1" w:rsidRPr="009342BD" w:rsidRDefault="00C730D1" w:rsidP="00C730D1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0A5527B8" w14:textId="6614B133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FE16939" w14:textId="7DDE0540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58EB66F" w14:textId="42057B3D" w:rsidR="00C730D1" w:rsidRPr="009342BD" w:rsidRDefault="00C730D1" w:rsidP="00C730D1">
            <w:pPr>
              <w:jc w:val="center"/>
            </w:pPr>
            <w:r w:rsidRPr="00A21FFB">
              <w:t>10.0%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EF96437" w14:textId="5D61C498" w:rsidR="00C730D1" w:rsidRPr="009342BD" w:rsidRDefault="00C730D1" w:rsidP="00C730D1">
            <w:pPr>
              <w:jc w:val="center"/>
            </w:pPr>
            <w:r w:rsidRPr="00A21FFB">
              <w:t>83.0%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0866C0B" w14:textId="7C045620" w:rsidR="00C730D1" w:rsidRPr="009342BD" w:rsidRDefault="00C730D1" w:rsidP="00C730D1">
            <w:pPr>
              <w:jc w:val="center"/>
            </w:pPr>
            <w:r w:rsidRPr="00A21FFB">
              <w:t>7.0%</w:t>
            </w:r>
          </w:p>
        </w:tc>
      </w:tr>
      <w:tr w:rsidR="00C730D1" w:rsidRPr="009342BD" w14:paraId="30A674E4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7A7C6E" w14:textId="77777777" w:rsidR="00C730D1" w:rsidRPr="009342BD" w:rsidRDefault="00C730D1" w:rsidP="00C730D1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5750" w14:textId="537F66C2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65941" w14:textId="68C7F192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AC724" w14:textId="534806C2" w:rsidR="00C730D1" w:rsidRPr="009342BD" w:rsidRDefault="00C730D1" w:rsidP="00C730D1">
            <w:pPr>
              <w:jc w:val="center"/>
            </w:pPr>
            <w:r w:rsidRPr="00A21FFB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67038" w14:textId="3CBB0292" w:rsidR="00C730D1" w:rsidRPr="009342BD" w:rsidRDefault="00C730D1" w:rsidP="00C730D1">
            <w:pPr>
              <w:jc w:val="center"/>
            </w:pPr>
            <w:r w:rsidRPr="00A21FFB">
              <w:t>7.0%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6BDA66" w14:textId="5D06FE47" w:rsidR="00C730D1" w:rsidRPr="009342BD" w:rsidRDefault="00C730D1" w:rsidP="00C730D1">
            <w:pPr>
              <w:jc w:val="center"/>
            </w:pPr>
            <w:r w:rsidRPr="00A21FFB">
              <w:t>93.0%</w:t>
            </w:r>
          </w:p>
        </w:tc>
      </w:tr>
    </w:tbl>
    <w:p w14:paraId="1467E4FE" w14:textId="688D1122" w:rsidR="004E1976" w:rsidRPr="009342BD" w:rsidRDefault="004E1976" w:rsidP="00607DB6">
      <w:pPr>
        <w:pStyle w:val="bodyformat"/>
        <w:spacing w:beforeLines="0" w:before="0" w:afterLines="0"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5D375E1A" w14:textId="77777777" w:rsidTr="0048671F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70C892A7" w14:textId="5D25D172" w:rsidR="004E1976" w:rsidRPr="009342BD" w:rsidRDefault="004E1976" w:rsidP="00607DB6">
            <w:pPr>
              <w:rPr>
                <w:b/>
              </w:rPr>
            </w:pPr>
            <w:r w:rsidRPr="009342BD">
              <w:rPr>
                <w:b/>
              </w:rPr>
              <w:t>UK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59AEFB37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8E85236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73A6A44D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5AFA1123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46704C99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47D39398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3021E117" w14:textId="2626E915" w:rsidR="004E1976" w:rsidRPr="009342BD" w:rsidRDefault="004E1976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EC4FA70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C84E51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7132AB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1C1A2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5E32E6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C730D1" w:rsidRPr="009342BD" w14:paraId="15A4A5DB" w14:textId="77777777" w:rsidTr="0048671F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D21998" w14:textId="77777777" w:rsidR="00C730D1" w:rsidRPr="009342BD" w:rsidRDefault="00C730D1" w:rsidP="00C730D1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2C9ADD" w14:textId="3E7D0C68" w:rsidR="00C730D1" w:rsidRPr="009342BD" w:rsidRDefault="00C730D1" w:rsidP="00C730D1">
            <w:pPr>
              <w:jc w:val="center"/>
            </w:pPr>
            <w:r w:rsidRPr="00FB413C">
              <w:t>56.5%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3DBE12" w14:textId="016256EE" w:rsidR="00C730D1" w:rsidRPr="009342BD" w:rsidRDefault="00C730D1" w:rsidP="00C730D1">
            <w:pPr>
              <w:jc w:val="center"/>
            </w:pPr>
            <w:r w:rsidRPr="00FB413C">
              <w:t>39.0%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B16B57" w14:textId="0546A0B7" w:rsidR="00C730D1" w:rsidRPr="009342BD" w:rsidRDefault="00C730D1" w:rsidP="00C730D1">
            <w:pPr>
              <w:jc w:val="center"/>
            </w:pPr>
            <w:r w:rsidRPr="00FB413C">
              <w:t>4.5%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6FC84B" w14:textId="164A17BC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6396FF" w14:textId="677C7D12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</w:tr>
      <w:tr w:rsidR="00C730D1" w:rsidRPr="009342BD" w14:paraId="18C8AD51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687B87A4" w14:textId="77777777" w:rsidR="00C730D1" w:rsidRPr="009342BD" w:rsidRDefault="00C730D1" w:rsidP="00C730D1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660F8A8C" w14:textId="2BCC8DB0" w:rsidR="00C730D1" w:rsidRPr="009342BD" w:rsidRDefault="00C730D1" w:rsidP="00C730D1">
            <w:pPr>
              <w:jc w:val="center"/>
            </w:pPr>
            <w:r w:rsidRPr="00FB413C">
              <w:t>44.0%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D43133E" w14:textId="60D144CC" w:rsidR="00C730D1" w:rsidRPr="009342BD" w:rsidRDefault="00C730D1" w:rsidP="00C730D1">
            <w:pPr>
              <w:jc w:val="center"/>
            </w:pPr>
            <w:r w:rsidRPr="00FB413C">
              <w:t>41.0%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146316E" w14:textId="2E6F1B84" w:rsidR="00C730D1" w:rsidRPr="009342BD" w:rsidRDefault="00C730D1" w:rsidP="00C730D1">
            <w:pPr>
              <w:jc w:val="center"/>
            </w:pPr>
            <w:r w:rsidRPr="00FB413C">
              <w:t>15.0%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CE2FED5" w14:textId="6C878AE7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B572239" w14:textId="47285927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</w:tr>
      <w:tr w:rsidR="00C730D1" w:rsidRPr="009342BD" w14:paraId="171FA694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65ADB046" w14:textId="77777777" w:rsidR="00C730D1" w:rsidRPr="009342BD" w:rsidRDefault="00C730D1" w:rsidP="00C730D1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535061F1" w14:textId="43F1E891" w:rsidR="00C730D1" w:rsidRPr="009342BD" w:rsidRDefault="00C730D1" w:rsidP="00C730D1">
            <w:pPr>
              <w:jc w:val="center"/>
            </w:pPr>
            <w:r w:rsidRPr="00FB413C">
              <w:t>9.5%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DCA45B3" w14:textId="212D4DA5" w:rsidR="00C730D1" w:rsidRPr="009342BD" w:rsidRDefault="00C730D1" w:rsidP="00C730D1">
            <w:pPr>
              <w:jc w:val="center"/>
            </w:pPr>
            <w:r w:rsidRPr="00FB413C">
              <w:t>10.0%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3E0B420" w14:textId="7B083D9A" w:rsidR="00C730D1" w:rsidRPr="009342BD" w:rsidRDefault="00C730D1" w:rsidP="00C730D1">
            <w:pPr>
              <w:jc w:val="center"/>
            </w:pPr>
            <w:r w:rsidRPr="00FB413C">
              <w:t>73.0%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E6B1022" w14:textId="0583D716" w:rsidR="00C730D1" w:rsidRPr="009342BD" w:rsidRDefault="00C730D1" w:rsidP="00C730D1">
            <w:pPr>
              <w:jc w:val="center"/>
            </w:pPr>
            <w:r w:rsidRPr="00FB413C">
              <w:t>7.5%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C56C065" w14:textId="64F888E4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</w:tr>
      <w:tr w:rsidR="00C730D1" w:rsidRPr="009342BD" w14:paraId="2DC7B218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344644F9" w14:textId="77777777" w:rsidR="00C730D1" w:rsidRPr="009342BD" w:rsidRDefault="00C730D1" w:rsidP="00C730D1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06D0C9B2" w14:textId="33B0B306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2D65ED9" w14:textId="0F02CCEA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501729D" w14:textId="24003CF3" w:rsidR="00C730D1" w:rsidRPr="009342BD" w:rsidRDefault="00C730D1" w:rsidP="00C730D1">
            <w:pPr>
              <w:jc w:val="center"/>
            </w:pPr>
            <w:r w:rsidRPr="00FB413C">
              <w:t>7.5%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396CB52" w14:textId="7C798F62" w:rsidR="00C730D1" w:rsidRPr="009342BD" w:rsidRDefault="00C730D1" w:rsidP="00C730D1">
            <w:pPr>
              <w:jc w:val="center"/>
            </w:pPr>
            <w:r w:rsidRPr="00FB413C">
              <w:t>87.5%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B030446" w14:textId="3A8092DC" w:rsidR="00C730D1" w:rsidRPr="009342BD" w:rsidRDefault="00C730D1" w:rsidP="00C730D1">
            <w:pPr>
              <w:jc w:val="center"/>
            </w:pPr>
            <w:r w:rsidRPr="00FB413C">
              <w:t>5.0%</w:t>
            </w:r>
          </w:p>
        </w:tc>
      </w:tr>
      <w:tr w:rsidR="00C730D1" w:rsidRPr="009342BD" w14:paraId="6DFB2EE7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081331" w14:textId="77777777" w:rsidR="00C730D1" w:rsidRPr="009342BD" w:rsidRDefault="00C730D1" w:rsidP="00C730D1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D51BCA" w14:textId="10D3B68A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97D7D2" w14:textId="3B3EF2F2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F590C" w14:textId="4E06EF95" w:rsidR="00C730D1" w:rsidRPr="009342BD" w:rsidRDefault="00C730D1" w:rsidP="00C730D1">
            <w:pPr>
              <w:jc w:val="center"/>
            </w:pPr>
            <w:r w:rsidRPr="00FB413C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47FF52" w14:textId="63CDED47" w:rsidR="00C730D1" w:rsidRPr="009342BD" w:rsidRDefault="00C730D1" w:rsidP="00C730D1">
            <w:pPr>
              <w:jc w:val="center"/>
            </w:pPr>
            <w:r w:rsidRPr="00FB413C">
              <w:t>5.0%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1ABE17" w14:textId="2C69D6E6" w:rsidR="00C730D1" w:rsidRPr="009342BD" w:rsidRDefault="00C730D1" w:rsidP="00C730D1">
            <w:pPr>
              <w:jc w:val="center"/>
            </w:pPr>
            <w:r w:rsidRPr="00FB413C">
              <w:t>95.0%</w:t>
            </w:r>
          </w:p>
        </w:tc>
      </w:tr>
    </w:tbl>
    <w:p w14:paraId="30E52941" w14:textId="136C34BB" w:rsidR="004E1976" w:rsidRPr="009342BD" w:rsidRDefault="004E1976" w:rsidP="00607DB6">
      <w:pPr>
        <w:pStyle w:val="bodyformat"/>
        <w:spacing w:beforeLines="0" w:before="0" w:afterLines="0" w:after="0" w:line="240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700"/>
        <w:gridCol w:w="1306"/>
        <w:gridCol w:w="1309"/>
        <w:gridCol w:w="1309"/>
        <w:gridCol w:w="1309"/>
        <w:gridCol w:w="1309"/>
      </w:tblGrid>
      <w:tr w:rsidR="009342BD" w:rsidRPr="009342BD" w14:paraId="433E678D" w14:textId="77777777" w:rsidTr="0048671F">
        <w:tc>
          <w:tcPr>
            <w:tcW w:w="1461" w:type="pct"/>
            <w:tcBorders>
              <w:left w:val="nil"/>
              <w:bottom w:val="nil"/>
              <w:right w:val="nil"/>
              <w:tl2br w:val="nil"/>
            </w:tcBorders>
          </w:tcPr>
          <w:p w14:paraId="626C831F" w14:textId="77777777" w:rsidR="004E1976" w:rsidRPr="009342BD" w:rsidRDefault="004E1976" w:rsidP="00607DB6">
            <w:pPr>
              <w:rPr>
                <w:b/>
              </w:rPr>
            </w:pPr>
            <w:r w:rsidRPr="009342BD">
              <w:rPr>
                <w:b/>
              </w:rPr>
              <w:t>US</w:t>
            </w:r>
          </w:p>
        </w:tc>
        <w:tc>
          <w:tcPr>
            <w:tcW w:w="707" w:type="pct"/>
            <w:tcBorders>
              <w:left w:val="nil"/>
              <w:bottom w:val="nil"/>
              <w:right w:val="nil"/>
            </w:tcBorders>
          </w:tcPr>
          <w:p w14:paraId="77EF1FCD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Bottom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2BA3F469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Lower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4BE41A37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Middle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08CE810E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 xml:space="preserve">Upper </w:t>
            </w:r>
          </w:p>
        </w:tc>
        <w:tc>
          <w:tcPr>
            <w:tcW w:w="708" w:type="pct"/>
            <w:tcBorders>
              <w:left w:val="nil"/>
              <w:bottom w:val="nil"/>
              <w:right w:val="nil"/>
            </w:tcBorders>
          </w:tcPr>
          <w:p w14:paraId="7539BE17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Top</w:t>
            </w:r>
          </w:p>
        </w:tc>
      </w:tr>
      <w:tr w:rsidR="009342BD" w:rsidRPr="009342BD" w14:paraId="44DDDC98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  <w:tl2br w:val="nil"/>
            </w:tcBorders>
          </w:tcPr>
          <w:p w14:paraId="4C1754FA" w14:textId="77777777" w:rsidR="004E1976" w:rsidRPr="009342BD" w:rsidRDefault="004E1976" w:rsidP="00607DB6">
            <w:pPr>
              <w:rPr>
                <w:b/>
              </w:rPr>
            </w:pP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23E2F9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C7305E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974BAF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F41A2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C59B25" w14:textId="77777777" w:rsidR="004E1976" w:rsidRPr="009342BD" w:rsidRDefault="004E1976" w:rsidP="00607DB6">
            <w:pPr>
              <w:jc w:val="center"/>
              <w:rPr>
                <w:b/>
              </w:rPr>
            </w:pPr>
            <w:r w:rsidRPr="009342BD">
              <w:rPr>
                <w:b/>
              </w:rPr>
              <w:t>20%</w:t>
            </w:r>
          </w:p>
        </w:tc>
      </w:tr>
      <w:tr w:rsidR="00C730D1" w:rsidRPr="009342BD" w14:paraId="50CB380B" w14:textId="77777777" w:rsidTr="0048671F">
        <w:tc>
          <w:tcPr>
            <w:tcW w:w="146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647A54" w14:textId="77777777" w:rsidR="00C730D1" w:rsidRPr="009342BD" w:rsidRDefault="00C730D1" w:rsidP="00C730D1">
            <w:r w:rsidRPr="009342BD">
              <w:t>Bottom 20%</w:t>
            </w:r>
          </w:p>
        </w:tc>
        <w:tc>
          <w:tcPr>
            <w:tcW w:w="70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B5AA74" w14:textId="28B1C437" w:rsidR="00C730D1" w:rsidRPr="009342BD" w:rsidRDefault="00C730D1" w:rsidP="00C730D1">
            <w:pPr>
              <w:jc w:val="center"/>
            </w:pPr>
            <w:r w:rsidRPr="00B9036F">
              <w:t>39.0%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58F7FC" w14:textId="7F13B9A4" w:rsidR="00C730D1" w:rsidRPr="009342BD" w:rsidRDefault="00C730D1" w:rsidP="00C730D1">
            <w:pPr>
              <w:jc w:val="center"/>
            </w:pPr>
            <w:r w:rsidRPr="00B9036F">
              <w:t>45.5%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2E6233" w14:textId="67D15C8B" w:rsidR="00C730D1" w:rsidRPr="009342BD" w:rsidRDefault="00C730D1" w:rsidP="00C730D1">
            <w:pPr>
              <w:jc w:val="center"/>
            </w:pPr>
            <w:r w:rsidRPr="00B9036F">
              <w:t>12.0%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A2EB1" w14:textId="3131A77D" w:rsidR="00C730D1" w:rsidRPr="009342BD" w:rsidRDefault="00C730D1" w:rsidP="00C730D1">
            <w:pPr>
              <w:jc w:val="center"/>
            </w:pPr>
            <w:r w:rsidRPr="00B9036F">
              <w:t>3.5%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5E395C" w14:textId="064B108E" w:rsidR="00C730D1" w:rsidRPr="009342BD" w:rsidRDefault="00C730D1" w:rsidP="00C730D1">
            <w:pPr>
              <w:jc w:val="center"/>
            </w:pPr>
            <w:r w:rsidRPr="00B9036F">
              <w:t>0.0%</w:t>
            </w:r>
          </w:p>
        </w:tc>
      </w:tr>
      <w:tr w:rsidR="00C730D1" w:rsidRPr="009342BD" w14:paraId="0306A2F9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1F31CBA0" w14:textId="77777777" w:rsidR="00C730D1" w:rsidRPr="009342BD" w:rsidRDefault="00C730D1" w:rsidP="00C730D1">
            <w:r w:rsidRPr="009342BD">
              <w:t>Lower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545D737E" w14:textId="4F4900E3" w:rsidR="00C730D1" w:rsidRPr="009342BD" w:rsidRDefault="00C730D1" w:rsidP="00C730D1">
            <w:pPr>
              <w:jc w:val="center"/>
            </w:pPr>
            <w:r w:rsidRPr="00B9036F">
              <w:t>31.5%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02495B9" w14:textId="15AC04C7" w:rsidR="00C730D1" w:rsidRPr="009342BD" w:rsidRDefault="00C730D1" w:rsidP="00C730D1">
            <w:pPr>
              <w:jc w:val="center"/>
            </w:pPr>
            <w:r w:rsidRPr="00B9036F">
              <w:t>44.5%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69091BB" w14:textId="4A1B5831" w:rsidR="00C730D1" w:rsidRPr="009342BD" w:rsidRDefault="00C730D1" w:rsidP="00C730D1">
            <w:pPr>
              <w:jc w:val="center"/>
            </w:pPr>
            <w:r w:rsidRPr="00B9036F">
              <w:t>21.0%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63337D43" w14:textId="7A22AAE0" w:rsidR="00C730D1" w:rsidRPr="009342BD" w:rsidRDefault="00C730D1" w:rsidP="00C730D1">
            <w:pPr>
              <w:jc w:val="center"/>
            </w:pPr>
            <w:r w:rsidRPr="00B9036F">
              <w:t>3.0%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4959545F" w14:textId="38445B64" w:rsidR="00C730D1" w:rsidRPr="009342BD" w:rsidRDefault="00C730D1" w:rsidP="00C730D1">
            <w:pPr>
              <w:jc w:val="center"/>
            </w:pPr>
            <w:r w:rsidRPr="00B9036F">
              <w:t>0.0%</w:t>
            </w:r>
          </w:p>
        </w:tc>
      </w:tr>
      <w:tr w:rsidR="00C730D1" w:rsidRPr="009342BD" w14:paraId="534FFB1E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30A6D17F" w14:textId="77777777" w:rsidR="00C730D1" w:rsidRPr="009342BD" w:rsidRDefault="00C730D1" w:rsidP="00C730D1">
            <w:r w:rsidRPr="009342BD">
              <w:t>Middle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0ABFC0F8" w14:textId="1F69D8D2" w:rsidR="00C730D1" w:rsidRPr="009342BD" w:rsidRDefault="00C730D1" w:rsidP="00C730D1">
            <w:pPr>
              <w:jc w:val="center"/>
            </w:pPr>
            <w:r w:rsidRPr="00B9036F">
              <w:t>30.0%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95AADAD" w14:textId="03775659" w:rsidR="00C730D1" w:rsidRPr="009342BD" w:rsidRDefault="00C730D1" w:rsidP="00C730D1">
            <w:pPr>
              <w:jc w:val="center"/>
            </w:pPr>
            <w:r w:rsidRPr="00B9036F">
              <w:t>42.5%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6C5BFE8" w14:textId="4D448C16" w:rsidR="00C730D1" w:rsidRPr="009342BD" w:rsidRDefault="00C730D1" w:rsidP="00C730D1">
            <w:pPr>
              <w:jc w:val="center"/>
            </w:pPr>
            <w:r w:rsidRPr="00B9036F">
              <w:t>20.0%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0B5FFD14" w14:textId="12709AA1" w:rsidR="00C730D1" w:rsidRPr="009342BD" w:rsidRDefault="00C730D1" w:rsidP="00C730D1">
            <w:pPr>
              <w:jc w:val="center"/>
            </w:pPr>
            <w:r w:rsidRPr="00B9036F">
              <w:t>7.5%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7C7C9AEA" w14:textId="7055CE08" w:rsidR="00C730D1" w:rsidRPr="009342BD" w:rsidRDefault="00C730D1" w:rsidP="00C730D1">
            <w:pPr>
              <w:jc w:val="center"/>
            </w:pPr>
            <w:r w:rsidRPr="00B9036F">
              <w:t>0.0%</w:t>
            </w:r>
          </w:p>
        </w:tc>
      </w:tr>
      <w:tr w:rsidR="00C730D1" w:rsidRPr="009342BD" w14:paraId="71F5E74B" w14:textId="77777777" w:rsidTr="0048671F">
        <w:tc>
          <w:tcPr>
            <w:tcW w:w="1461" w:type="pct"/>
            <w:tcBorders>
              <w:top w:val="nil"/>
              <w:left w:val="nil"/>
              <w:bottom w:val="nil"/>
              <w:right w:val="nil"/>
            </w:tcBorders>
          </w:tcPr>
          <w:p w14:paraId="3E618E55" w14:textId="77777777" w:rsidR="00C730D1" w:rsidRPr="009342BD" w:rsidRDefault="00C730D1" w:rsidP="00C730D1">
            <w:r w:rsidRPr="009342BD">
              <w:t>Upper 20%</w:t>
            </w:r>
          </w:p>
        </w:tc>
        <w:tc>
          <w:tcPr>
            <w:tcW w:w="707" w:type="pct"/>
            <w:tcBorders>
              <w:top w:val="nil"/>
              <w:left w:val="nil"/>
              <w:bottom w:val="nil"/>
              <w:right w:val="nil"/>
            </w:tcBorders>
          </w:tcPr>
          <w:p w14:paraId="3F9E23F4" w14:textId="4560959C" w:rsidR="00C730D1" w:rsidRPr="009342BD" w:rsidRDefault="00C730D1" w:rsidP="00C730D1">
            <w:pPr>
              <w:jc w:val="center"/>
            </w:pPr>
            <w:r w:rsidRPr="00B9036F">
              <w:t>2.0%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30D60FA6" w14:textId="4C1A06F9" w:rsidR="00C730D1" w:rsidRPr="009342BD" w:rsidRDefault="00C730D1" w:rsidP="00C730D1">
            <w:pPr>
              <w:jc w:val="center"/>
            </w:pPr>
            <w:r w:rsidRPr="00B9036F">
              <w:t>4.0%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1F231C23" w14:textId="614477F1" w:rsidR="00C730D1" w:rsidRPr="009342BD" w:rsidRDefault="00C730D1" w:rsidP="00C730D1">
            <w:pPr>
              <w:jc w:val="center"/>
            </w:pPr>
            <w:r w:rsidRPr="00B9036F">
              <w:t>8.0%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20FB3379" w14:textId="75B0068A" w:rsidR="00C730D1" w:rsidRPr="009342BD" w:rsidRDefault="00C730D1" w:rsidP="00C730D1">
            <w:pPr>
              <w:jc w:val="center"/>
            </w:pPr>
            <w:r w:rsidRPr="00B9036F">
              <w:t>83.5%</w:t>
            </w:r>
          </w:p>
        </w:tc>
        <w:tc>
          <w:tcPr>
            <w:tcW w:w="708" w:type="pct"/>
            <w:tcBorders>
              <w:top w:val="nil"/>
              <w:left w:val="nil"/>
              <w:bottom w:val="nil"/>
              <w:right w:val="nil"/>
            </w:tcBorders>
          </w:tcPr>
          <w:p w14:paraId="5FF26ABE" w14:textId="48D8A2ED" w:rsidR="00C730D1" w:rsidRPr="009342BD" w:rsidRDefault="00C730D1" w:rsidP="00C730D1">
            <w:pPr>
              <w:jc w:val="center"/>
            </w:pPr>
            <w:r w:rsidRPr="00B9036F">
              <w:t>2.5%</w:t>
            </w:r>
          </w:p>
        </w:tc>
      </w:tr>
      <w:tr w:rsidR="00C730D1" w:rsidRPr="009342BD" w14:paraId="78DF2FDD" w14:textId="77777777" w:rsidTr="0048671F">
        <w:tc>
          <w:tcPr>
            <w:tcW w:w="146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B71426" w14:textId="77777777" w:rsidR="00C730D1" w:rsidRPr="009342BD" w:rsidRDefault="00C730D1" w:rsidP="00C730D1">
            <w:r w:rsidRPr="009342BD">
              <w:t>Top 20%</w:t>
            </w:r>
          </w:p>
        </w:tc>
        <w:tc>
          <w:tcPr>
            <w:tcW w:w="70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8C987F" w14:textId="2AA633D3" w:rsidR="00C730D1" w:rsidRPr="009342BD" w:rsidRDefault="00C730D1" w:rsidP="00C730D1">
            <w:pPr>
              <w:jc w:val="center"/>
            </w:pPr>
            <w:r w:rsidRPr="00B9036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C31DCD" w14:textId="4F53AC6E" w:rsidR="00C730D1" w:rsidRPr="009342BD" w:rsidRDefault="00C730D1" w:rsidP="00C730D1">
            <w:pPr>
              <w:jc w:val="center"/>
            </w:pPr>
            <w:r w:rsidRPr="00B9036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5B0DE7" w14:textId="338F6698" w:rsidR="00C730D1" w:rsidRPr="009342BD" w:rsidRDefault="00C730D1" w:rsidP="00C730D1">
            <w:pPr>
              <w:jc w:val="center"/>
            </w:pPr>
            <w:r w:rsidRPr="00B9036F">
              <w:t>0.0%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3114E2" w14:textId="306A968F" w:rsidR="00C730D1" w:rsidRPr="009342BD" w:rsidRDefault="00C730D1" w:rsidP="00C730D1">
            <w:pPr>
              <w:jc w:val="center"/>
            </w:pPr>
            <w:r w:rsidRPr="00B9036F">
              <w:t>2.5%</w:t>
            </w:r>
          </w:p>
        </w:tc>
        <w:tc>
          <w:tcPr>
            <w:tcW w:w="70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FB0442" w14:textId="2AEA2FD1" w:rsidR="00C730D1" w:rsidRPr="009342BD" w:rsidRDefault="00C730D1" w:rsidP="00C730D1">
            <w:pPr>
              <w:jc w:val="center"/>
            </w:pPr>
            <w:r w:rsidRPr="00B9036F">
              <w:t>97.5%</w:t>
            </w:r>
          </w:p>
        </w:tc>
      </w:tr>
    </w:tbl>
    <w:p w14:paraId="175489E2" w14:textId="213A524F" w:rsidR="00EE115E" w:rsidRPr="009342BD" w:rsidRDefault="00EE115E" w:rsidP="009C31DD">
      <w:pPr>
        <w:spacing w:beforeLines="100" w:before="240" w:afterLines="100" w:after="240" w:line="360" w:lineRule="exact"/>
        <w:jc w:val="both"/>
      </w:pPr>
    </w:p>
    <w:p w14:paraId="557464CF" w14:textId="6D4C374F" w:rsidR="00EE115E" w:rsidRPr="009342BD" w:rsidRDefault="00EE115E" w:rsidP="009C31DD">
      <w:pPr>
        <w:spacing w:beforeLines="100" w:before="240" w:afterLines="100" w:after="240" w:line="360" w:lineRule="exact"/>
        <w:jc w:val="both"/>
      </w:pPr>
    </w:p>
    <w:p w14:paraId="1FF2B0EF" w14:textId="24C1C435" w:rsidR="0031491B" w:rsidRPr="009342BD" w:rsidRDefault="0031491B">
      <w:r w:rsidRPr="009342BD">
        <w:br w:type="page"/>
      </w:r>
    </w:p>
    <w:p w14:paraId="5FD3CD45" w14:textId="5418EFF2" w:rsidR="0031491B" w:rsidRPr="009342BD" w:rsidRDefault="0031491B" w:rsidP="0031491B">
      <w:pPr>
        <w:pStyle w:val="Heading1"/>
        <w:numPr>
          <w:ilvl w:val="0"/>
          <w:numId w:val="0"/>
        </w:numPr>
        <w:spacing w:before="100" w:after="100" w:line="360" w:lineRule="exact"/>
        <w:ind w:left="432" w:hanging="432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9342BD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Appendix 3: Proof of a diminishing thickness index as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color w:val="auto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auto"/>
                <w:sz w:val="24"/>
                <w:szCs w:val="24"/>
              </w:rPr>
              <m:t>min</m:t>
            </m:r>
          </m:sub>
        </m:sSub>
      </m:oMath>
      <w:r w:rsidRPr="009342B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drops</w:t>
      </w:r>
    </w:p>
    <w:p w14:paraId="3E0D6A7C" w14:textId="77777777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>The complementary CDF or tail distribution (defined as 1 minus the CDF) which follows a power law can be written as:</w:t>
      </w:r>
    </w:p>
    <w:p w14:paraId="23BADA42" w14:textId="77777777" w:rsidR="0031491B" w:rsidRPr="009342BD" w:rsidRDefault="00193430" w:rsidP="00607DB6">
      <w:pPr>
        <w:spacing w:beforeLines="100" w:before="240" w:afterLines="100" w:after="240" w:line="360" w:lineRule="exact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Pr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W&gt;w</m:t>
                  </m:r>
                </m:e>
              </m:d>
            </m:e>
          </m:func>
          <m:r>
            <w:rPr>
              <w:rFonts w:ascii="Cambria Math" w:hAnsi="Cambria Math"/>
            </w:rPr>
            <m:t>≡1-</m:t>
          </m:r>
          <m:r>
            <m:rPr>
              <m:sty m:val="p"/>
            </m:rP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-ϕ</m:t>
              </m:r>
            </m:sup>
          </m:sSup>
        </m:oMath>
      </m:oMathPara>
    </w:p>
    <w:p w14:paraId="5253ED31" w14:textId="757ED402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 xml:space="preserve">If the entire distribution follows the same power law, then for any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&lt;w</m:t>
        </m:r>
      </m:oMath>
      <w:r w:rsidRPr="009342BD">
        <w:t>, we have:</w:t>
      </w:r>
    </w:p>
    <w:p w14:paraId="78BF5B1F" w14:textId="77777777" w:rsidR="0031491B" w:rsidRPr="009342BD" w:rsidRDefault="00193430" w:rsidP="00607DB6">
      <w:pPr>
        <w:spacing w:beforeLines="100" w:before="240" w:afterLines="100" w:after="240" w:line="360" w:lineRule="exact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W&gt;w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Pr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-ϕ</m:t>
            </m:r>
          </m:sup>
        </m:sSup>
      </m:oMath>
      <w:r w:rsidR="0031491B" w:rsidRPr="009342BD">
        <w:t xml:space="preserve"> </w:t>
      </w:r>
    </w:p>
    <w:p w14:paraId="6017AACC" w14:textId="5B94EA64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 xml:space="preserve">Now assume that, for all values </w:t>
      </w:r>
      <m:oMath>
        <m:r>
          <w:rPr>
            <w:rFonts w:ascii="Cambria Math" w:hAnsi="Cambria Math"/>
          </w:rPr>
          <m:t>w∈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</m:d>
      </m:oMath>
      <w:r w:rsidRPr="009342BD">
        <w:t xml:space="preserve"> including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</m:oMath>
      <w:r w:rsidRPr="009342BD">
        <w:t xml:space="preserve">, </w:t>
      </w:r>
      <w:r w:rsidR="009A29D9" w:rsidRPr="009342BD">
        <w:t xml:space="preserve">the distribution </w:t>
      </w:r>
      <w:r w:rsidRPr="009342BD">
        <w:t>follows an exp</w:t>
      </w:r>
      <w:r w:rsidRPr="009342BD">
        <w:t>o</w:t>
      </w:r>
      <w:r w:rsidRPr="009342BD">
        <w:t xml:space="preserve">nential law. The cutting-off point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Pr="009342BD">
        <w:t xml:space="preserve"> is where the two distributions meet. The complementary CDF is therefore:</w:t>
      </w:r>
    </w:p>
    <w:p w14:paraId="07003BBD" w14:textId="77777777" w:rsidR="0031491B" w:rsidRPr="009342BD" w:rsidRDefault="00193430" w:rsidP="00607DB6">
      <w:pPr>
        <w:spacing w:beforeLines="100" w:before="240" w:afterLines="100" w:after="240" w:line="360" w:lineRule="exact"/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W&gt;w</m:t>
                </m:r>
              </m:e>
            </m:d>
          </m:e>
        </m:func>
        <m:r>
          <w:rPr>
            <w:rFonts w:ascii="Cambria Math" w:hAnsi="Cambria Math"/>
          </w:rPr>
          <m:t>≡1-</m:t>
        </m:r>
        <m:r>
          <m:rPr>
            <m:sty m:val="p"/>
          </m:rP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-w</m:t>
            </m:r>
          </m:sup>
        </m:sSup>
      </m:oMath>
      <w:r w:rsidR="0031491B" w:rsidRPr="009342BD">
        <w:t xml:space="preserve"> for </w:t>
      </w:r>
      <m:oMath>
        <m:r>
          <w:rPr>
            <w:rFonts w:ascii="Cambria Math" w:hAnsi="Cambria Math"/>
          </w:rPr>
          <m:t>w∈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</m:d>
      </m:oMath>
    </w:p>
    <w:p w14:paraId="2F007D28" w14:textId="77777777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>The PDFs of the two distributions can be obtained by differentiating CDF, so:</w:t>
      </w:r>
    </w:p>
    <w:p w14:paraId="40CE238D" w14:textId="77777777" w:rsidR="0031491B" w:rsidRPr="009342BD" w:rsidRDefault="0031491B" w:rsidP="00607DB6">
      <w:pPr>
        <w:spacing w:beforeLines="100" w:before="240" w:afterLines="100" w:after="240" w:line="360" w:lineRule="exact"/>
        <w:ind w:left="1440"/>
      </w:pPr>
      <w:r w:rsidRPr="009342BD">
        <w:t xml:space="preserve">Power law: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=ϕ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-ϕ-1</m:t>
            </m:r>
          </m:sup>
        </m:sSup>
      </m:oMath>
    </w:p>
    <w:p w14:paraId="3F369EA8" w14:textId="77777777" w:rsidR="0031491B" w:rsidRPr="009342BD" w:rsidRDefault="0031491B" w:rsidP="0031491B">
      <w:pPr>
        <w:spacing w:beforeLines="100" w:before="240" w:afterLines="100" w:after="240" w:line="360" w:lineRule="exact"/>
        <w:ind w:left="1440"/>
      </w:pPr>
      <w:r w:rsidRPr="009342BD">
        <w:t xml:space="preserve">Exponential law: </w:t>
      </w:r>
      <m:oMath>
        <m:r>
          <w:rPr>
            <w:rFonts w:ascii="Cambria Math" w:hAnsi="Cambria Math"/>
          </w:rPr>
          <m:t>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ψ</m:t>
            </m:r>
          </m:e>
          <m:sup>
            <m:r>
              <w:rPr>
                <w:rFonts w:ascii="Cambria Math" w:hAnsi="Cambria Math"/>
              </w:rPr>
              <m:t>-w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ψ</m:t>
            </m:r>
          </m:e>
        </m:func>
      </m:oMath>
    </w:p>
    <w:p w14:paraId="4424F912" w14:textId="1D9845D8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 xml:space="preserve">We now prove the following </w:t>
      </w:r>
      <w:r w:rsidR="004F0C06" w:rsidRPr="009342BD">
        <w:t>theorem.</w:t>
      </w:r>
    </w:p>
    <w:p w14:paraId="2D7162FB" w14:textId="2C1A1BF1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 xml:space="preserve">[Theorem] The estimated thickness index </w:t>
      </w:r>
      <m:oMath>
        <m:r>
          <w:rPr>
            <w:rFonts w:ascii="Cambria Math" w:hAnsi="Cambria Math"/>
          </w:rPr>
          <m:t>ϕ</m:t>
        </m:r>
      </m:oMath>
      <w:r w:rsidRPr="009342BD">
        <w:t xml:space="preserve"> </w:t>
      </w:r>
      <w:r w:rsidR="00410F6D" w:rsidRPr="009342BD">
        <w:t>diminishes</w:t>
      </w:r>
      <w:r w:rsidRPr="009342BD">
        <w:t xml:space="preserve"> as </w:t>
      </w:r>
      <w:r w:rsidR="004B5A90" w:rsidRPr="009342BD">
        <w:t>more</w:t>
      </w:r>
      <w:r w:rsidR="00D47101" w:rsidRPr="009342BD">
        <w:t xml:space="preserve"> </w:t>
      </w:r>
      <w:r w:rsidRPr="009342BD">
        <w:t>observations from expone</w:t>
      </w:r>
      <w:r w:rsidRPr="009342BD">
        <w:t>n</w:t>
      </w:r>
      <w:r w:rsidRPr="009342BD">
        <w:t>tial</w:t>
      </w:r>
      <w:r w:rsidR="004B5A90" w:rsidRPr="009342BD">
        <w:t xml:space="preserve"> distribution </w:t>
      </w:r>
      <w:r w:rsidRPr="009342BD">
        <w:t>are added in the sample.</w:t>
      </w:r>
    </w:p>
    <w:p w14:paraId="1EBF80E6" w14:textId="3E14D6B0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>We break down the proof into t</w:t>
      </w:r>
      <w:r w:rsidR="00777B27" w:rsidRPr="009342BD">
        <w:t>wo</w:t>
      </w:r>
      <w:r w:rsidRPr="009342BD">
        <w:t xml:space="preserve"> steps. First, the difference between the two distributions is shown. Second, the effect of the difference on the estimated </w:t>
      </w:r>
      <m:oMath>
        <m:r>
          <w:rPr>
            <w:rFonts w:ascii="Cambria Math" w:hAnsi="Cambria Math"/>
          </w:rPr>
          <m:t>ϕ</m:t>
        </m:r>
      </m:oMath>
      <w:r w:rsidR="00777B27" w:rsidRPr="009342BD">
        <w:t xml:space="preserve"> is derived.</w:t>
      </w:r>
    </w:p>
    <w:p w14:paraId="03E5B448" w14:textId="77777777" w:rsidR="00B83C38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 xml:space="preserve">[Step 1] </w:t>
      </w:r>
    </w:p>
    <w:p w14:paraId="71EF09C0" w14:textId="1E41E96D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 xml:space="preserve">The PDF of the exponential part is lower than the power-law counterpart for </w:t>
      </w:r>
      <m:oMath>
        <m:r>
          <w:rPr>
            <w:rFonts w:ascii="Cambria Math" w:hAnsi="Cambria Math"/>
          </w:rPr>
          <m:t>w∈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bar>
              <m:barPr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w</m:t>
                </m:r>
              </m:e>
            </m:bar>
          </m:e>
        </m:d>
      </m:oMath>
      <w:r w:rsidRPr="009342BD">
        <w:t xml:space="preserve">. This can be shown by resorting to two special points: </w:t>
      </w:r>
      <m:oMath>
        <m:r>
          <w:rPr>
            <w:rFonts w:ascii="Cambria Math" w:hAnsi="Cambria Math"/>
          </w:rPr>
          <m:t>w=0</m:t>
        </m:r>
      </m:oMath>
      <w:r w:rsidRPr="009342BD">
        <w:t xml:space="preserve"> and </w:t>
      </w:r>
      <m:oMath>
        <m:r>
          <w:rPr>
            <w:rFonts w:ascii="Cambria Math" w:hAnsi="Cambria Math"/>
          </w:rPr>
          <m:t>w=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Pr="009342BD">
        <w:t xml:space="preserve">.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342BD" w:rsidRPr="009342BD" w14:paraId="1778C6CE" w14:textId="77777777" w:rsidTr="00607DB6">
        <w:trPr>
          <w:jc w:val="center"/>
        </w:trPr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D8BE" w14:textId="77777777" w:rsidR="00B83C38" w:rsidRPr="009342BD" w:rsidRDefault="00B83C38" w:rsidP="00607DB6">
            <w:pPr>
              <w:spacing w:line="360" w:lineRule="exact"/>
              <w:jc w:val="both"/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997AD1F" w14:textId="0541B0A2" w:rsidR="00B83C38" w:rsidRPr="009342BD" w:rsidRDefault="00B83C38" w:rsidP="00607DB6">
            <w:pPr>
              <w:spacing w:line="360" w:lineRule="exact"/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29355242" w14:textId="77777777" w:rsidR="00B83C38" w:rsidRPr="009342BD" w:rsidRDefault="00B83C38" w:rsidP="00607DB6">
            <w:pPr>
              <w:spacing w:line="360" w:lineRule="exact"/>
              <w:jc w:val="both"/>
              <w:rPr>
                <w:b/>
                <w:bCs/>
              </w:rPr>
            </w:pP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14:paraId="1AD9254D" w14:textId="0B36BCF5" w:rsidR="00B83C38" w:rsidRPr="009342BD" w:rsidRDefault="00B83C38" w:rsidP="00607DB6">
            <w:pPr>
              <w:spacing w:line="360" w:lineRule="exact"/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d>
              </m:oMath>
            </m:oMathPara>
          </w:p>
        </w:tc>
      </w:tr>
      <w:tr w:rsidR="009342BD" w:rsidRPr="009342BD" w14:paraId="121C6A83" w14:textId="77777777" w:rsidTr="00607DB6">
        <w:trPr>
          <w:jc w:val="center"/>
        </w:trPr>
        <w:tc>
          <w:tcPr>
            <w:tcW w:w="2254" w:type="dxa"/>
            <w:tcBorders>
              <w:top w:val="single" w:sz="4" w:space="0" w:color="auto"/>
              <w:right w:val="single" w:sz="4" w:space="0" w:color="auto"/>
            </w:tcBorders>
          </w:tcPr>
          <w:p w14:paraId="0F6F796C" w14:textId="7F7FE89C" w:rsidR="00B83C38" w:rsidRPr="009342BD" w:rsidRDefault="00B83C38" w:rsidP="00607DB6">
            <w:pPr>
              <w:spacing w:line="360" w:lineRule="exact"/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w=0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</w:tcBorders>
          </w:tcPr>
          <w:p w14:paraId="4291DAA2" w14:textId="1FBB84FB" w:rsidR="00B83C38" w:rsidRPr="009342BD" w:rsidRDefault="00B83C38" w:rsidP="00607DB6">
            <w:pPr>
              <w:spacing w:line="360" w:lineRule="exact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=∞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350FFAB3" w14:textId="4EBECDBE" w:rsidR="00B83C38" w:rsidRPr="009342BD" w:rsidRDefault="00B83C38" w:rsidP="00607DB6">
            <w:pPr>
              <w:spacing w:line="360" w:lineRule="exact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&gt;</m:t>
                </m:r>
              </m:oMath>
            </m:oMathPara>
          </w:p>
        </w:tc>
        <w:tc>
          <w:tcPr>
            <w:tcW w:w="2254" w:type="dxa"/>
            <w:tcBorders>
              <w:top w:val="single" w:sz="4" w:space="0" w:color="auto"/>
            </w:tcBorders>
          </w:tcPr>
          <w:p w14:paraId="707D4DBE" w14:textId="4D4EB089" w:rsidR="00B83C38" w:rsidRPr="009342BD" w:rsidRDefault="00B83C38" w:rsidP="00607DB6">
            <w:pPr>
              <w:spacing w:line="360" w:lineRule="exact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func>
              </m:oMath>
            </m:oMathPara>
          </w:p>
        </w:tc>
      </w:tr>
      <w:tr w:rsidR="009342BD" w:rsidRPr="009342BD" w14:paraId="050C3F0C" w14:textId="77777777" w:rsidTr="00607DB6">
        <w:trPr>
          <w:jc w:val="center"/>
        </w:trPr>
        <w:tc>
          <w:tcPr>
            <w:tcW w:w="2254" w:type="dxa"/>
            <w:tcBorders>
              <w:bottom w:val="single" w:sz="4" w:space="0" w:color="auto"/>
              <w:right w:val="single" w:sz="4" w:space="0" w:color="auto"/>
            </w:tcBorders>
          </w:tcPr>
          <w:p w14:paraId="672EDA10" w14:textId="53587A97" w:rsidR="00B83C38" w:rsidRPr="009342BD" w:rsidRDefault="00B83C38" w:rsidP="00607DB6">
            <w:pPr>
              <w:spacing w:line="360" w:lineRule="exact"/>
              <w:jc w:val="both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w=</m:t>
                </m:r>
                <m:bar>
                  <m:bar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ba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</m:bar>
              </m:oMath>
            </m:oMathPara>
          </w:p>
        </w:tc>
        <w:tc>
          <w:tcPr>
            <w:tcW w:w="2254" w:type="dxa"/>
            <w:tcBorders>
              <w:left w:val="single" w:sz="4" w:space="0" w:color="auto"/>
              <w:bottom w:val="single" w:sz="4" w:space="0" w:color="auto"/>
            </w:tcBorders>
          </w:tcPr>
          <w:p w14:paraId="0B7073AE" w14:textId="6DEF6315" w:rsidR="00B83C38" w:rsidRPr="009342BD" w:rsidRDefault="00B83C38" w:rsidP="00607DB6">
            <w:pPr>
              <w:spacing w:line="360" w:lineRule="exact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ϕ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=ϕ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e>
                  <m:sup>
                    <m:r>
                      <w:rPr>
                        <w:rFonts w:ascii="Cambria Math" w:hAnsi="Cambria Math"/>
                      </w:rPr>
                      <m:t>-ϕ-1</m:t>
                    </m:r>
                  </m:sup>
                </m:sSup>
              </m:oMath>
            </m:oMathPara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50F3569" w14:textId="3E5D7718" w:rsidR="00B83C38" w:rsidRPr="009342BD" w:rsidRDefault="00B83C38" w:rsidP="00607DB6">
            <w:pPr>
              <w:spacing w:line="360" w:lineRule="exact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=</m:t>
                </m:r>
              </m:oMath>
            </m:oMathPara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41281D8" w14:textId="5D9280D0" w:rsidR="00B83C38" w:rsidRPr="009342BD" w:rsidRDefault="00B83C38" w:rsidP="00607DB6">
            <w:pPr>
              <w:spacing w:line="360" w:lineRule="exact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bar>
                      <m:ba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ba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</m:func>
              </m:oMath>
            </m:oMathPara>
          </w:p>
        </w:tc>
      </w:tr>
    </w:tbl>
    <w:p w14:paraId="652FBCFE" w14:textId="4147D56B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 xml:space="preserve">Both PDFs are continuous and monotonic, so </w:t>
      </w:r>
      <m:oMath>
        <m:r>
          <w:rPr>
            <w:rFonts w:ascii="Cambria Math" w:hAnsi="Cambria Math"/>
          </w:rPr>
          <m:t>ϕ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≥ψ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9342BD">
        <w:t xml:space="preserve"> for</w:t>
      </w:r>
      <w:r w:rsidR="00D47101" w:rsidRPr="009342BD">
        <w:t xml:space="preserve"> </w:t>
      </w:r>
      <m:oMath>
        <m:r>
          <w:rPr>
            <w:rFonts w:ascii="Cambria Math" w:hAnsi="Cambria Math"/>
          </w:rPr>
          <m:t>w≤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Pr="009342BD">
        <w:t>. We use the follo</w:t>
      </w:r>
      <w:r w:rsidRPr="009342BD">
        <w:t>w</w:t>
      </w:r>
      <w:r w:rsidRPr="009342BD">
        <w:t>ing figure to show the intuition of the proof of step 1.</w:t>
      </w:r>
      <w:r w:rsidR="00006106" w:rsidRPr="009342BD">
        <w:t xml:space="preserve"> The overall PDF includes the expone</w:t>
      </w:r>
      <w:r w:rsidR="00006106" w:rsidRPr="009342BD">
        <w:t>n</w:t>
      </w:r>
      <w:r w:rsidR="00006106" w:rsidRPr="009342BD">
        <w:t xml:space="preserve">tial-law part when </w:t>
      </w:r>
      <m:oMath>
        <m:r>
          <w:rPr>
            <w:rFonts w:ascii="Cambria Math" w:hAnsi="Cambria Math"/>
          </w:rPr>
          <m:t>w≤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006106" w:rsidRPr="009342BD">
        <w:t xml:space="preserve"> and the power-law part when </w:t>
      </w:r>
      <m:oMath>
        <m:r>
          <w:rPr>
            <w:rFonts w:ascii="Cambria Math" w:hAnsi="Cambria Math"/>
          </w:rPr>
          <m:t>w&gt;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="00006106" w:rsidRPr="009342BD">
        <w:t>.</w:t>
      </w:r>
    </w:p>
    <w:p w14:paraId="73724D90" w14:textId="0DB74F95" w:rsidR="0031491B" w:rsidRPr="009342BD" w:rsidRDefault="0031491B" w:rsidP="00607DB6">
      <w:pPr>
        <w:spacing w:beforeLines="100" w:before="240" w:afterLines="100" w:after="240" w:line="240" w:lineRule="auto"/>
        <w:jc w:val="center"/>
      </w:pPr>
      <w:r w:rsidRPr="009342BD">
        <w:rPr>
          <w:noProof/>
          <w:lang w:val="en-IN" w:eastAsia="en-IN"/>
        </w:rPr>
        <w:lastRenderedPageBreak/>
        <mc:AlternateContent>
          <mc:Choice Requires="wpc">
            <w:drawing>
              <wp:inline distT="0" distB="0" distL="0" distR="0" wp14:anchorId="6765FAC3" wp14:editId="3AC3B378">
                <wp:extent cx="5486400" cy="3378200"/>
                <wp:effectExtent l="0" t="0" r="0" b="0"/>
                <wp:docPr id="28" name="Canvas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8" name="Freeform: Shape 58"/>
                        <wps:cNvSpPr/>
                        <wps:spPr>
                          <a:xfrm>
                            <a:off x="2453489" y="2738674"/>
                            <a:ext cx="2240733" cy="212756"/>
                          </a:xfrm>
                          <a:custGeom>
                            <a:avLst/>
                            <a:gdLst>
                              <a:gd name="connsiteX0" fmla="*/ 0 w 2240733"/>
                              <a:gd name="connsiteY0" fmla="*/ 0 h 212756"/>
                              <a:gd name="connsiteX1" fmla="*/ 0 w 2240733"/>
                              <a:gd name="connsiteY1" fmla="*/ 212756 h 212756"/>
                              <a:gd name="connsiteX2" fmla="*/ 2240733 w 2240733"/>
                              <a:gd name="connsiteY2" fmla="*/ 212756 h 212756"/>
                              <a:gd name="connsiteX3" fmla="*/ 2222626 w 2240733"/>
                              <a:gd name="connsiteY3" fmla="*/ 158435 h 212756"/>
                              <a:gd name="connsiteX4" fmla="*/ 1570776 w 2240733"/>
                              <a:gd name="connsiteY4" fmla="*/ 144855 h 212756"/>
                              <a:gd name="connsiteX5" fmla="*/ 927980 w 2240733"/>
                              <a:gd name="connsiteY5" fmla="*/ 122222 h 212756"/>
                              <a:gd name="connsiteX6" fmla="*/ 316871 w 2240733"/>
                              <a:gd name="connsiteY6" fmla="*/ 58847 h 212756"/>
                              <a:gd name="connsiteX7" fmla="*/ 0 w 2240733"/>
                              <a:gd name="connsiteY7" fmla="*/ 0 h 2127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2240733" h="212756">
                                <a:moveTo>
                                  <a:pt x="0" y="0"/>
                                </a:moveTo>
                                <a:lnTo>
                                  <a:pt x="0" y="212756"/>
                                </a:lnTo>
                                <a:lnTo>
                                  <a:pt x="2240733" y="212756"/>
                                </a:lnTo>
                                <a:lnTo>
                                  <a:pt x="2222626" y="158435"/>
                                </a:lnTo>
                                <a:lnTo>
                                  <a:pt x="1570776" y="144855"/>
                                </a:lnTo>
                                <a:lnTo>
                                  <a:pt x="927980" y="122222"/>
                                </a:lnTo>
                                <a:lnTo>
                                  <a:pt x="316871" y="588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ltVert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Freeform: Shape 57"/>
                        <wps:cNvSpPr/>
                        <wps:spPr>
                          <a:xfrm>
                            <a:off x="1077362" y="1896701"/>
                            <a:ext cx="1362547" cy="1050202"/>
                          </a:xfrm>
                          <a:custGeom>
                            <a:avLst/>
                            <a:gdLst>
                              <a:gd name="connsiteX0" fmla="*/ 0 w 1362547"/>
                              <a:gd name="connsiteY0" fmla="*/ 0 h 1050202"/>
                              <a:gd name="connsiteX1" fmla="*/ 4527 w 1362547"/>
                              <a:gd name="connsiteY1" fmla="*/ 1050202 h 1050202"/>
                              <a:gd name="connsiteX2" fmla="*/ 1362547 w 1362547"/>
                              <a:gd name="connsiteY2" fmla="*/ 1050202 h 1050202"/>
                              <a:gd name="connsiteX3" fmla="*/ 1358020 w 1362547"/>
                              <a:gd name="connsiteY3" fmla="*/ 837446 h 1050202"/>
                              <a:gd name="connsiteX4" fmla="*/ 1167897 w 1362547"/>
                              <a:gd name="connsiteY4" fmla="*/ 814812 h 1050202"/>
                              <a:gd name="connsiteX5" fmla="*/ 918927 w 1362547"/>
                              <a:gd name="connsiteY5" fmla="*/ 778598 h 1050202"/>
                              <a:gd name="connsiteX6" fmla="*/ 629216 w 1362547"/>
                              <a:gd name="connsiteY6" fmla="*/ 706170 h 1050202"/>
                              <a:gd name="connsiteX7" fmla="*/ 430040 w 1362547"/>
                              <a:gd name="connsiteY7" fmla="*/ 588475 h 1050202"/>
                              <a:gd name="connsiteX8" fmla="*/ 267077 w 1362547"/>
                              <a:gd name="connsiteY8" fmla="*/ 439093 h 1050202"/>
                              <a:gd name="connsiteX9" fmla="*/ 108642 w 1362547"/>
                              <a:gd name="connsiteY9" fmla="*/ 208230 h 1050202"/>
                              <a:gd name="connsiteX10" fmla="*/ 0 w 1362547"/>
                              <a:gd name="connsiteY10" fmla="*/ 0 h 10502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362547" h="1050202">
                                <a:moveTo>
                                  <a:pt x="0" y="0"/>
                                </a:moveTo>
                                <a:lnTo>
                                  <a:pt x="4527" y="1050202"/>
                                </a:lnTo>
                                <a:lnTo>
                                  <a:pt x="1362547" y="1050202"/>
                                </a:lnTo>
                                <a:lnTo>
                                  <a:pt x="1358020" y="837446"/>
                                </a:lnTo>
                                <a:lnTo>
                                  <a:pt x="1167897" y="814812"/>
                                </a:lnTo>
                                <a:lnTo>
                                  <a:pt x="918927" y="778598"/>
                                </a:lnTo>
                                <a:lnTo>
                                  <a:pt x="629216" y="706170"/>
                                </a:lnTo>
                                <a:lnTo>
                                  <a:pt x="430040" y="588475"/>
                                </a:lnTo>
                                <a:lnTo>
                                  <a:pt x="267077" y="439093"/>
                                </a:lnTo>
                                <a:lnTo>
                                  <a:pt x="108642" y="2082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pct5">
                            <a:fgClr>
                              <a:srgbClr val="FF0000"/>
                            </a:fgClr>
                            <a:bgClr>
                              <a:schemeClr val="bg1"/>
                            </a:bgClr>
                          </a:patt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reeform: Shape 55"/>
                        <wps:cNvSpPr/>
                        <wps:spPr>
                          <a:xfrm>
                            <a:off x="1082694" y="1365990"/>
                            <a:ext cx="1273429" cy="1337941"/>
                          </a:xfrm>
                          <a:custGeom>
                            <a:avLst/>
                            <a:gdLst>
                              <a:gd name="connsiteX0" fmla="*/ 0 w 1273429"/>
                              <a:gd name="connsiteY0" fmla="*/ 0 h 1337941"/>
                              <a:gd name="connsiteX1" fmla="*/ 2805 w 1273429"/>
                              <a:gd name="connsiteY1" fmla="*/ 448785 h 1337941"/>
                              <a:gd name="connsiteX2" fmla="*/ 95367 w 1273429"/>
                              <a:gd name="connsiteY2" fmla="*/ 656349 h 1337941"/>
                              <a:gd name="connsiteX3" fmla="*/ 171100 w 1273429"/>
                              <a:gd name="connsiteY3" fmla="*/ 807814 h 1337941"/>
                              <a:gd name="connsiteX4" fmla="*/ 283296 w 1273429"/>
                              <a:gd name="connsiteY4" fmla="*/ 953669 h 1337941"/>
                              <a:gd name="connsiteX5" fmla="*/ 395493 w 1273429"/>
                              <a:gd name="connsiteY5" fmla="*/ 1065865 h 1337941"/>
                              <a:gd name="connsiteX6" fmla="*/ 560982 w 1273429"/>
                              <a:gd name="connsiteY6" fmla="*/ 1175257 h 1337941"/>
                              <a:gd name="connsiteX7" fmla="*/ 768545 w 1273429"/>
                              <a:gd name="connsiteY7" fmla="*/ 1256599 h 1337941"/>
                              <a:gd name="connsiteX8" fmla="*/ 1012572 w 1273429"/>
                              <a:gd name="connsiteY8" fmla="*/ 1309892 h 1337941"/>
                              <a:gd name="connsiteX9" fmla="*/ 1273429 w 1273429"/>
                              <a:gd name="connsiteY9" fmla="*/ 1337941 h 1337941"/>
                              <a:gd name="connsiteX10" fmla="*/ 942450 w 1273429"/>
                              <a:gd name="connsiteY10" fmla="*/ 1239770 h 1337941"/>
                              <a:gd name="connsiteX11" fmla="*/ 633910 w 1273429"/>
                              <a:gd name="connsiteY11" fmla="*/ 1088304 h 1337941"/>
                              <a:gd name="connsiteX12" fmla="*/ 454396 w 1273429"/>
                              <a:gd name="connsiteY12" fmla="*/ 948059 h 1337941"/>
                              <a:gd name="connsiteX13" fmla="*/ 322565 w 1273429"/>
                              <a:gd name="connsiteY13" fmla="*/ 807814 h 1337941"/>
                              <a:gd name="connsiteX14" fmla="*/ 187929 w 1273429"/>
                              <a:gd name="connsiteY14" fmla="*/ 600250 h 1337941"/>
                              <a:gd name="connsiteX15" fmla="*/ 98172 w 1273429"/>
                              <a:gd name="connsiteY15" fmla="*/ 389882 h 1337941"/>
                              <a:gd name="connsiteX16" fmla="*/ 0 w 1273429"/>
                              <a:gd name="connsiteY16" fmla="*/ 0 h 133794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273429" h="1337941">
                                <a:moveTo>
                                  <a:pt x="0" y="0"/>
                                </a:moveTo>
                                <a:lnTo>
                                  <a:pt x="2805" y="448785"/>
                                </a:lnTo>
                                <a:lnTo>
                                  <a:pt x="95367" y="656349"/>
                                </a:lnTo>
                                <a:lnTo>
                                  <a:pt x="171100" y="807814"/>
                                </a:lnTo>
                                <a:lnTo>
                                  <a:pt x="283296" y="953669"/>
                                </a:lnTo>
                                <a:lnTo>
                                  <a:pt x="395493" y="1065865"/>
                                </a:lnTo>
                                <a:lnTo>
                                  <a:pt x="560982" y="1175257"/>
                                </a:lnTo>
                                <a:lnTo>
                                  <a:pt x="768545" y="1256599"/>
                                </a:lnTo>
                                <a:lnTo>
                                  <a:pt x="1012572" y="1309892"/>
                                </a:lnTo>
                                <a:lnTo>
                                  <a:pt x="1273429" y="1337941"/>
                                </a:lnTo>
                                <a:lnTo>
                                  <a:pt x="942450" y="1239770"/>
                                </a:lnTo>
                                <a:lnTo>
                                  <a:pt x="633910" y="1088304"/>
                                </a:lnTo>
                                <a:lnTo>
                                  <a:pt x="454396" y="948059"/>
                                </a:lnTo>
                                <a:lnTo>
                                  <a:pt x="322565" y="807814"/>
                                </a:lnTo>
                                <a:lnTo>
                                  <a:pt x="187929" y="600250"/>
                                </a:lnTo>
                                <a:lnTo>
                                  <a:pt x="98172" y="389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pattFill prst="wdUpDiag">
                            <a:fgClr>
                              <a:schemeClr val="tx1"/>
                            </a:fgClr>
                            <a:bgClr>
                              <a:schemeClr val="bg1"/>
                            </a:bgClr>
                          </a:pattFill>
                          <a:ln w="3175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Freeform: Shape 53"/>
                        <wps:cNvSpPr/>
                        <wps:spPr>
                          <a:xfrm>
                            <a:off x="887854" y="1360136"/>
                            <a:ext cx="1552754" cy="1362974"/>
                          </a:xfrm>
                          <a:custGeom>
                            <a:avLst/>
                            <a:gdLst>
                              <a:gd name="connsiteX0" fmla="*/ 0 w 1552754"/>
                              <a:gd name="connsiteY0" fmla="*/ 0 h 1362974"/>
                              <a:gd name="connsiteX1" fmla="*/ 569343 w 1552754"/>
                              <a:gd name="connsiteY1" fmla="*/ 1069675 h 1362974"/>
                              <a:gd name="connsiteX2" fmla="*/ 1552754 w 1552754"/>
                              <a:gd name="connsiteY2" fmla="*/ 1362974 h 136297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552754" h="1362974">
                                <a:moveTo>
                                  <a:pt x="0" y="0"/>
                                </a:moveTo>
                                <a:cubicBezTo>
                                  <a:pt x="155275" y="421256"/>
                                  <a:pt x="310551" y="842513"/>
                                  <a:pt x="569343" y="1069675"/>
                                </a:cubicBezTo>
                                <a:cubicBezTo>
                                  <a:pt x="828135" y="1296837"/>
                                  <a:pt x="1190444" y="1329905"/>
                                  <a:pt x="1552754" y="1362974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885825" y="219075"/>
                            <a:ext cx="0" cy="27336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98408" y="161925"/>
                            <a:ext cx="698376" cy="333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AEE5E8" w14:textId="0885E30D" w:rsidR="00BF3059" w:rsidRPr="0031491B" w:rsidRDefault="00BF3059" w:rsidP="00607DB6">
                              <w:pPr>
                                <w:jc w:val="center"/>
                              </w:pPr>
                              <w:r>
                                <w:t>density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4752975" y="2800350"/>
                            <a:ext cx="571500" cy="3333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B6CC7F" w14:textId="77777777" w:rsidR="00BF3059" w:rsidRDefault="00BF3059" w:rsidP="00607DB6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w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Straight Arrow Connector 30"/>
                        <wps:cNvCnPr/>
                        <wps:spPr>
                          <a:xfrm>
                            <a:off x="885825" y="2952750"/>
                            <a:ext cx="39814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Oval 36"/>
                        <wps:cNvSpPr/>
                        <wps:spPr>
                          <a:xfrm>
                            <a:off x="2408982" y="2679581"/>
                            <a:ext cx="72000" cy="72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505862" y="1528762"/>
                            <a:ext cx="571500" cy="333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D00E75" w14:textId="77777777" w:rsidR="00BF3059" w:rsidRPr="00832E83" w:rsidRDefault="00BF3059" w:rsidP="0031491B">
                              <w:pPr>
                                <w:spacing w:line="254" w:lineRule="auto"/>
                                <w:jc w:val="center"/>
                                <w:rPr>
                                  <w:color w:val="FF0000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color w:val="FF0000"/>
                                    </w:rPr>
                                    <m:t>ψ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color w:val="FF000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color w:val="FF0000"/>
                                        </w:rPr>
                                        <m:t>w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856275" y="1340104"/>
                            <a:ext cx="71755" cy="717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5156" y="1219542"/>
                            <a:ext cx="571500" cy="333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3C7950B" w14:textId="77777777" w:rsidR="00BF3059" w:rsidRDefault="00193430" w:rsidP="0031491B">
                              <w:pPr>
                                <w:spacing w:line="254" w:lineRule="auto"/>
                                <w:jc w:val="center"/>
                              </w:pPr>
                              <m:oMathPara>
                                <m:oMath>
                                  <m:func>
                                    <m:func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uncPr>
                                    <m:fNam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ln</m:t>
                                      </m:r>
                                    </m:fNam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ψ</m:t>
                                      </m:r>
                                    </m:e>
                                  </m:func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1079000" y="1360135"/>
                            <a:ext cx="0" cy="1584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>
                          <a:stCxn id="36" idx="4"/>
                        </wps:cNvCnPr>
                        <wps:spPr>
                          <a:xfrm>
                            <a:off x="2444982" y="2751581"/>
                            <a:ext cx="0" cy="2160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79228" y="2903567"/>
                            <a:ext cx="571500" cy="333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AD8843" w14:textId="77777777" w:rsidR="00BF3059" w:rsidRDefault="00193430" w:rsidP="0031491B">
                              <w:pPr>
                                <w:spacing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DengXian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DengXian" w:hAnsi="Cambria Math"/>
                                        </w:rPr>
                                        <m:t>min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35203" y="2903220"/>
                            <a:ext cx="571500" cy="333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512DD6" w14:textId="60021CBB" w:rsidR="00BF3059" w:rsidRDefault="00193430" w:rsidP="0031491B">
                              <w:pPr>
                                <w:spacing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bar>
                                    <m:barPr>
                                      <m:ctrlPr>
                                        <w:rPr>
                                          <w:rFonts w:ascii="Cambria Math" w:eastAsia="DengXian" w:hAnsi="Cambria Math"/>
                                          <w:i/>
                                          <w:iCs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eastAsia="DengXian" w:hAnsi="Cambria Math"/>
                                        </w:rPr>
                                        <m:t>w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706703" y="2516046"/>
                            <a:ext cx="571500" cy="33337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B5826C2" w14:textId="77777777" w:rsidR="00BF3059" w:rsidRDefault="00BF3059" w:rsidP="0031491B">
                              <w:pPr>
                                <w:spacing w:line="252" w:lineRule="auto"/>
                                <w:jc w:val="center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Oval 41"/>
                        <wps:cNvSpPr/>
                        <wps:spPr>
                          <a:xfrm>
                            <a:off x="1043122" y="1279755"/>
                            <a:ext cx="71755" cy="717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042637" y="1819009"/>
                            <a:ext cx="71755" cy="717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00125" y="276225"/>
                            <a:ext cx="3695700" cy="2609850"/>
                          </a:xfrm>
                          <a:custGeom>
                            <a:avLst/>
                            <a:gdLst>
                              <a:gd name="connsiteX0" fmla="*/ 0 w 3124200"/>
                              <a:gd name="connsiteY0" fmla="*/ 0 h 2609850"/>
                              <a:gd name="connsiteX1" fmla="*/ 571500 w 3124200"/>
                              <a:gd name="connsiteY1" fmla="*/ 2133600 h 2609850"/>
                              <a:gd name="connsiteX2" fmla="*/ 3124200 w 3124200"/>
                              <a:gd name="connsiteY2" fmla="*/ 2609850 h 26098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3124200" h="2609850">
                                <a:moveTo>
                                  <a:pt x="0" y="0"/>
                                </a:moveTo>
                                <a:cubicBezTo>
                                  <a:pt x="25400" y="849312"/>
                                  <a:pt x="50800" y="1698625"/>
                                  <a:pt x="571500" y="2133600"/>
                                </a:cubicBezTo>
                                <a:cubicBezTo>
                                  <a:pt x="1092200" y="2568575"/>
                                  <a:pt x="2108200" y="2589212"/>
                                  <a:pt x="3124200" y="2609850"/>
                                </a:cubicBezTo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allout: Line 56"/>
                        <wps:cNvSpPr/>
                        <wps:spPr>
                          <a:xfrm>
                            <a:off x="1498349" y="1951022"/>
                            <a:ext cx="325925" cy="253497"/>
                          </a:xfrm>
                          <a:prstGeom prst="borderCallout1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6D019E" w14:textId="2A648988" w:rsidR="00BF3059" w:rsidRDefault="00BF3059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allout: Line 59"/>
                        <wps:cNvSpPr/>
                        <wps:spPr>
                          <a:xfrm>
                            <a:off x="3838670" y="2595924"/>
                            <a:ext cx="325925" cy="253497"/>
                          </a:xfrm>
                          <a:prstGeom prst="borderCallout1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28EF8" w14:textId="395CEA9E" w:rsidR="00BF3059" w:rsidRDefault="00BF3059">
                              <w: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allout: Line 60"/>
                        <wps:cNvSpPr/>
                        <wps:spPr>
                          <a:xfrm>
                            <a:off x="1321806" y="2595924"/>
                            <a:ext cx="325925" cy="253497"/>
                          </a:xfrm>
                          <a:prstGeom prst="borderCallout1">
                            <a:avLst/>
                          </a:prstGeom>
                          <a:ln w="3175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E13D6C" w14:textId="17FC111F" w:rsidR="00BF3059" w:rsidRDefault="00BF3059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765FAC3" id="Canvas 28" o:spid="_x0000_s1062" editas="canvas" style="width:6in;height:266pt;mso-position-horizontal-relative:char;mso-position-vertical-relative:line" coordsize="54864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">
                <v:shape id="_x0000_s1063" type="#_x0000_t75" style="position:absolute;width:54864;height:33782;visibility:visible;mso-wrap-style:square" filled="t">
                  <v:fill o:detectmouseclick="t"/>
                  <v:path o:connecttype="none"/>
                </v:shape>
                <v:shape id="Freeform: Shape 58" o:spid="_x0000_s1064" style="position:absolute;left:24534;top:27386;width:22408;height:2128;visibility:visible;mso-wrap-style:square;v-text-anchor:middle" coordsize="2240733,212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" path="m,l,212756r2240733,l2222626,158435,1570776,144855,927980,122222,316871,58847,,xe" fillcolor="black [3213]" stroked="f" strokeweight="1pt">
                  <v:fill r:id="rId30" o:title="" color2="white [3212]" type="pattern"/>
                  <v:stroke joinstyle="miter"/>
                  <v:path arrowok="t" o:connecttype="custom" o:connectlocs="0,0;0,212756;2240733,212756;2222626,158435;1570776,144855;927980,122222;316871,58847;0,0" o:connectangles="0,0,0,0,0,0,0,0"/>
                </v:shape>
                <v:shape id="Freeform: Shape 57" o:spid="_x0000_s1065" style="position:absolute;left:10773;top:18967;width:13626;height:10502;visibility:visible;mso-wrap-style:square;v-text-anchor:middle" coordsize="1362547,1050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" path="m,l4527,1050202r1358020,l1358020,837446,1167897,814812,918927,778598,629216,706170,430040,588475,267077,439093,108642,208230,,xe" fillcolor="red" stroked="f" strokeweight="1pt">
                  <v:fill r:id="rId31" o:title="" color2="white [3212]" type="pattern"/>
                  <v:stroke joinstyle="miter"/>
                  <v:path arrowok="t" o:connecttype="custom" o:connectlocs="0,0;4527,1050202;1362547,1050202;1358020,837446;1167897,814812;918927,778598;629216,706170;430040,588475;267077,439093;108642,208230;0,0" o:connectangles="0,0,0,0,0,0,0,0,0,0,0"/>
                </v:shape>
                <v:shape id="Freeform: Shape 55" o:spid="_x0000_s1066" style="position:absolute;left:10826;top:13659;width:12735;height:13380;visibility:visible;mso-wrap-style:square;v-text-anchor:middle" coordsize="1273429,13379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" path="m,l2805,448785,95367,656349r75733,151465l283296,953669r112197,112196l560982,1175257r207563,81342l1012572,1309892r260857,28049l942450,1239770,633910,1088304,454396,948059,322565,807814,187929,600250,98172,389882,,xe" fillcolor="black [3213]" stroked="f" strokeweight=".25pt">
                  <v:fill r:id="rId32" o:title="" color2="white [3212]" type="pattern"/>
                  <v:stroke joinstyle="miter"/>
                  <v:path arrowok="t" o:connecttype="custom" o:connectlocs="0,0;2805,448785;95367,656349;171100,807814;283296,953669;395493,1065865;560982,1175257;768545,1256599;1012572,1309892;1273429,1337941;942450,1239770;633910,1088304;454396,948059;322565,807814;187929,600250;98172,389882;0,0" o:connectangles="0,0,0,0,0,0,0,0,0,0,0,0,0,0,0,0,0"/>
                </v:shape>
                <v:shape id="Freeform: Shape 53" o:spid="_x0000_s1067" style="position:absolute;left:8878;top:13601;width:15528;height:13630;visibility:visible;mso-wrap-style:square;v-text-anchor:middle" coordsize="1552754,1362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" path="m,c155275,421256,310551,842513,569343,1069675v258792,227162,621101,260230,983411,293299e" filled="f" strokecolor="red" strokeweight="1pt">
                  <v:stroke joinstyle="miter"/>
                  <v:path arrowok="t" o:connecttype="custom" o:connectlocs="0,0;569343,1069675;1552754,1362974" o:connectangles="0,0,0"/>
                </v:shape>
                <v:shape id="Straight Arrow Connector 29" o:spid="_x0000_s1068" type="#_x0000_t32" style="position:absolute;left:8858;top:2190;width:0;height:273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rect id="Rectangle 31" o:spid="_x0000_s1069" style="position:absolute;left:1984;top:1619;width:6983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" fillcolor="white [3201]" stroked="f" strokeweight="1pt">
                  <v:fill opacity="0"/>
                  <v:textbox>
                    <w:txbxContent>
                      <w:p w14:paraId="28AEE5E8" w14:textId="0885E30D" w:rsidR="00BF3059" w:rsidRPr="0031491B" w:rsidRDefault="00BF3059" w:rsidP="00607DB6">
                        <w:pPr>
                          <w:jc w:val="center"/>
                        </w:pPr>
                        <w:r>
                          <w:t>density</w:t>
                        </w:r>
                      </w:p>
                    </w:txbxContent>
                  </v:textbox>
                </v:rect>
                <v:rect id="Rectangle 32" o:spid="_x0000_s1070" style="position:absolute;left:47529;top:28003;width:571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" fillcolor="white [3201]" stroked="f" strokeweight="1pt">
                  <v:textbox>
                    <w:txbxContent>
                      <w:p w14:paraId="58B6CC7F" w14:textId="77777777" w:rsidR="00BF3059" w:rsidRDefault="00BF3059" w:rsidP="00607DB6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oMath>
                        </m:oMathPara>
                      </w:p>
                    </w:txbxContent>
                  </v:textbox>
                </v:rect>
                <v:shape id="Straight Arrow Connector 30" o:spid="_x0000_s1071" type="#_x0000_t32" style="position:absolute;left:8858;top:29527;width:398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oval id="Oval 36" o:spid="_x0000_s1072" style="position:absolute;left:24089;top:26795;width:720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" fillcolor="black [3200]" strokecolor="black [1600]" strokeweight="1pt">
                  <v:stroke joinstyle="miter"/>
                </v:oval>
                <v:rect id="Rectangle 40" o:spid="_x0000_s1073" style="position:absolute;left:5058;top:15287;width:571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" fillcolor="white [3201]" stroked="f" strokeweight="1pt">
                  <v:fill opacity="0"/>
                  <v:textbox>
                    <w:txbxContent>
                      <w:p w14:paraId="77D00E75" w14:textId="77777777" w:rsidR="00BF3059" w:rsidRPr="00832E83" w:rsidRDefault="00BF3059" w:rsidP="0031491B">
                        <w:pPr>
                          <w:spacing w:line="254" w:lineRule="auto"/>
                          <w:jc w:val="center"/>
                          <w:rPr>
                            <w:color w:val="FF0000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color w:val="FF0000"/>
                              </w:rPr>
                              <m:t>ψ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color w:val="FF000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color w:val="FF0000"/>
                                  </w:rPr>
                                  <m:t>w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oval id="Oval 42" o:spid="_x0000_s1074" style="position:absolute;left:8562;top:13401;width:718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" fillcolor="black [3200]" strokecolor="black [1600]" strokeweight="1pt">
                  <v:stroke joinstyle="miter"/>
                </v:oval>
                <v:rect id="Rectangle 43" o:spid="_x0000_s1075" style="position:absolute;left:3651;top:12195;width:571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" fillcolor="white [3201]" stroked="f" strokeweight="1pt">
                  <v:fill opacity="0"/>
                  <v:textbox>
                    <w:txbxContent>
                      <w:p w14:paraId="03C7950B" w14:textId="77777777" w:rsidR="00BF3059" w:rsidRDefault="00ED0420" w:rsidP="0031491B">
                        <w:pPr>
                          <w:spacing w:line="254" w:lineRule="auto"/>
                          <w:jc w:val="center"/>
                        </w:pPr>
                        <m:oMathPara>
                          <m:oMath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ln</m:t>
                                </m:r>
                              </m:fNam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ψ</m:t>
                                </m:r>
                              </m:e>
                            </m:func>
                          </m:oMath>
                        </m:oMathPara>
                      </w:p>
                    </w:txbxContent>
                  </v:textbox>
                </v:rect>
                <v:line id="Straight Connector 44" o:spid="_x0000_s1076" style="position:absolute;visibility:visible;mso-wrap-style:square" from="10790,13601" to="10790,29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" strokecolor="black [3200]" strokeweight=".5pt">
                  <v:stroke dashstyle="dash" joinstyle="miter"/>
                </v:line>
                <v:line id="Straight Connector 45" o:spid="_x0000_s1077" style="position:absolute;visibility:visible;mso-wrap-style:square" from="24449,27515" to="24449,296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" strokecolor="black [3200]" strokeweight=".5pt">
                  <v:stroke dashstyle="dash" joinstyle="miter"/>
                </v:line>
                <v:rect id="Rectangle 46" o:spid="_x0000_s1078" style="position:absolute;left:8792;top:29035;width:571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" fillcolor="white [3201]" stroked="f" strokeweight="1pt">
                  <v:fill opacity="0"/>
                  <v:textbox>
                    <w:txbxContent>
                      <w:p w14:paraId="1AAD8843" w14:textId="77777777" w:rsidR="00BF3059" w:rsidRDefault="00ED0420" w:rsidP="0031491B">
                        <w:pPr>
                          <w:spacing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/>
                                  </w:rPr>
                                  <m:t>min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47" o:spid="_x0000_s1079" style="position:absolute;left:21352;top:29032;width:5715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" fillcolor="white [3201]" stroked="f" strokeweight="1pt">
                  <v:fill opacity="0"/>
                  <v:textbox>
                    <w:txbxContent>
                      <w:p w14:paraId="0E512DD6" w14:textId="60021CBB" w:rsidR="00BF3059" w:rsidRDefault="00ED0420" w:rsidP="0031491B">
                        <w:pPr>
                          <w:spacing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bar>
                              <m:barPr>
                                <m:ctrlPr>
                                  <w:rPr>
                                    <w:rFonts w:ascii="Cambria Math" w:eastAsia="DengXian" w:hAnsi="Cambria Math"/>
                                    <w:i/>
                                    <w:iCs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eastAsia="DengXian" w:hAnsi="Cambria Math"/>
                                  </w:rPr>
                                  <m:t>w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rect>
                <v:rect id="Rectangle 48" o:spid="_x0000_s1080" style="position:absolute;left:27067;top:25160;width:571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" fillcolor="white [3201]" stroked="f" strokeweight="1pt">
                  <v:fill opacity="0"/>
                  <v:textbox>
                    <w:txbxContent>
                      <w:p w14:paraId="5B5826C2" w14:textId="77777777" w:rsidR="00BF3059" w:rsidRDefault="00BF3059" w:rsidP="0031491B">
                        <w:pPr>
                          <w:spacing w:line="252" w:lineRule="auto"/>
                          <w:jc w:val="center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ϕ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rect>
                <v:oval id="Oval 41" o:spid="_x0000_s1081" style="position:absolute;left:10431;top:12797;width:717;height: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" fillcolor="black [3200]" strokecolor="black [1600]" strokeweight="1pt">
                  <v:stroke joinstyle="miter"/>
                </v:oval>
                <v:oval id="Oval 52" o:spid="_x0000_s1082" style="position:absolute;left:10426;top:18190;width:717;height: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" fillcolor="black [3200]" strokecolor="black [1600]" strokeweight="1pt">
                  <v:stroke joinstyle="miter"/>
                </v:oval>
                <v:shape id="Freeform: Shape 34" o:spid="_x0000_s1083" style="position:absolute;left:10001;top:2762;width:36957;height:26098;visibility:visible;mso-wrap-style:square;v-text-anchor:middle" coordsize="3124200,2609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" path="m,c25400,849312,50800,1698625,571500,2133600v520700,434975,1536700,455612,2552700,476250e" filled="f" strokecolor="black [3213]" strokeweight="1pt">
                  <v:stroke joinstyle="miter"/>
                  <v:path arrowok="t" o:connecttype="custom" o:connectlocs="0,0;676043,2133600;3695700,2609850" o:connectangles="0,0,0"/>
                </v:shape>
                <v:shapetype id="_x0000_t47" coordsize="21600,21600" o:spt="47" adj="-8280,24300,-1800,4050" path="m@0@1l@2@3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/>
                </v:shapetype>
                <v:shape id="Callout: Line 56" o:spid="_x0000_s1084" type="#_x0000_t47" style="position:absolute;left:14983;top:19510;width:3259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" fillcolor="white [3201]" strokecolor="black [3200]" strokeweight=".25pt">
                  <v:textbox>
                    <w:txbxContent>
                      <w:p w14:paraId="0A6D019E" w14:textId="2A648988" w:rsidR="00BF3059" w:rsidRDefault="00BF3059">
                        <w:r>
                          <w:t>A</w:t>
                        </w:r>
                      </w:p>
                    </w:txbxContent>
                  </v:textbox>
                  <o:callout v:ext="edit" minusy="t"/>
                </v:shape>
                <v:shape id="Callout: Line 59" o:spid="_x0000_s1085" type="#_x0000_t47" style="position:absolute;left:38386;top:25959;width:3259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" fillcolor="white [3201]" strokecolor="black [3200]" strokeweight=".25pt">
                  <v:textbox>
                    <w:txbxContent>
                      <w:p w14:paraId="44C28EF8" w14:textId="395CEA9E" w:rsidR="00BF3059" w:rsidRDefault="00BF3059">
                        <w:r>
                          <w:t>C</w:t>
                        </w:r>
                      </w:p>
                    </w:txbxContent>
                  </v:textbox>
                  <o:callout v:ext="edit" minusy="t"/>
                </v:shape>
                <v:shape id="Callout: Line 60" o:spid="_x0000_s1086" type="#_x0000_t47" style="position:absolute;left:13218;top:25959;width:3259;height:25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" fillcolor="white [3201]" strokecolor="black [3200]" strokeweight=".25pt">
                  <v:textbox>
                    <w:txbxContent>
                      <w:p w14:paraId="1BE13D6C" w14:textId="17FC111F" w:rsidR="00BF3059" w:rsidRDefault="00BF3059">
                        <w:r>
                          <w:t>B</w:t>
                        </w:r>
                      </w:p>
                    </w:txbxContent>
                  </v:textbox>
                  <o:callout v:ext="edit" minusy="t"/>
                </v:shape>
                <w10:anchorlock/>
              </v:group>
            </w:pict>
          </mc:Fallback>
        </mc:AlternateContent>
      </w:r>
    </w:p>
    <w:p w14:paraId="03167FBB" w14:textId="77777777" w:rsidR="0031491B" w:rsidRPr="009342BD" w:rsidRDefault="0031491B" w:rsidP="0031491B">
      <w:pPr>
        <w:spacing w:beforeLines="100" w:before="240" w:afterLines="100" w:after="240" w:line="360" w:lineRule="exact"/>
        <w:jc w:val="both"/>
      </w:pPr>
      <w:r w:rsidRPr="009342BD">
        <w:t>[Step 2]</w:t>
      </w:r>
    </w:p>
    <w:p w14:paraId="112EEA80" w14:textId="3B804EF3" w:rsidR="0031491B" w:rsidRPr="009342BD" w:rsidRDefault="00B83C38" w:rsidP="0031491B">
      <w:pPr>
        <w:spacing w:beforeLines="100" w:before="240" w:afterLines="100" w:after="240" w:line="360" w:lineRule="exact"/>
        <w:jc w:val="both"/>
      </w:pPr>
      <w:r w:rsidRPr="009342BD">
        <w:t xml:space="preserve">According to the property of power-law distribution, </w:t>
      </w:r>
      <w:r w:rsidR="009E255D" w:rsidRPr="009342BD">
        <w:t>we have the condition below</w:t>
      </w:r>
      <w:r w:rsidRPr="009342BD">
        <w:t>:</w:t>
      </w:r>
    </w:p>
    <w:p w14:paraId="4FE6E181" w14:textId="79A70986" w:rsidR="0031491B" w:rsidRPr="009342BD" w:rsidRDefault="00193430" w:rsidP="00607DB6">
      <w:pPr>
        <w:spacing w:beforeLines="100" w:before="240" w:afterLines="100" w:after="240" w:line="240" w:lineRule="auto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-ϕ</m:t>
            </m:r>
          </m:sup>
        </m:sSup>
      </m:oMath>
      <w:r w:rsidR="00740033" w:rsidRPr="009342BD">
        <w:t xml:space="preserve"> </w:t>
      </w:r>
    </w:p>
    <w:p w14:paraId="3829177D" w14:textId="0F1C7253" w:rsidR="007863C5" w:rsidRPr="009342BD" w:rsidRDefault="00410F6D">
      <w:pPr>
        <w:spacing w:beforeLines="100" w:before="240" w:afterLines="100" w:after="240" w:line="360" w:lineRule="exact"/>
        <w:jc w:val="both"/>
      </w:pPr>
      <w:r w:rsidRPr="009342BD">
        <w:rPr>
          <w:iCs/>
        </w:rPr>
        <w:t>Without losing generality.</w:t>
      </w:r>
      <w:r w:rsidRPr="009342BD">
        <w:t xml:space="preserve"> let’s pick </w:t>
      </w:r>
      <m:oMath>
        <m:r>
          <w:rPr>
            <w:rFonts w:ascii="Cambria Math" w:hAnsi="Cambria Math"/>
          </w:rPr>
          <m:t>w=</m:t>
        </m:r>
        <m:bar>
          <m:barPr>
            <m:ctrlPr>
              <w:rPr>
                <w:rFonts w:ascii="Cambria Math" w:eastAsia="DengXian" w:hAnsi="Cambria Math"/>
                <w:i/>
                <w:iCs/>
              </w:rPr>
            </m:ctrlPr>
          </m:barPr>
          <m:e>
            <m:r>
              <w:rPr>
                <w:rFonts w:ascii="Cambria Math" w:eastAsia="DengXian" w:hAnsi="Cambria Math"/>
              </w:rPr>
              <m:t>w</m:t>
            </m:r>
          </m:e>
        </m:bar>
      </m:oMath>
      <w:r w:rsidRPr="009342BD">
        <w:rPr>
          <w:iCs/>
        </w:rPr>
        <w:t xml:space="preserve"> and use the fact that </w:t>
      </w:r>
      <m:oMath>
        <m: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</m:oMath>
      <w:r w:rsidRPr="009342BD">
        <w:rPr>
          <w:iCs/>
        </w:rPr>
        <w:t xml:space="preserve"> is just the integr</w:t>
      </w:r>
      <w:r w:rsidRPr="009342BD">
        <w:rPr>
          <w:iCs/>
        </w:rPr>
        <w:t>a</w:t>
      </w:r>
      <w:r w:rsidRPr="009342BD">
        <w:rPr>
          <w:iCs/>
        </w:rPr>
        <w:t xml:space="preserve">tion of the PDF for </w:t>
      </w:r>
      <m:oMath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w,+∞</m:t>
            </m:r>
          </m:e>
        </m:d>
      </m:oMath>
      <w:r w:rsidRPr="009342BD">
        <w:rPr>
          <w:iCs/>
        </w:rPr>
        <w:t xml:space="preserve">. </w:t>
      </w:r>
      <w:r w:rsidR="007863C5" w:rsidRPr="009342BD">
        <w:rPr>
          <w:iCs/>
        </w:rPr>
        <w:t>The equation above can</w:t>
      </w:r>
      <w:r w:rsidR="009E255D" w:rsidRPr="009342BD">
        <w:rPr>
          <w:iCs/>
        </w:rPr>
        <w:t xml:space="preserve"> be</w:t>
      </w:r>
      <w:r w:rsidR="007863C5" w:rsidRPr="009342BD">
        <w:rPr>
          <w:iCs/>
        </w:rPr>
        <w:t xml:space="preserve"> expressed with the help of the </w:t>
      </w:r>
      <w:r w:rsidR="009E255D" w:rsidRPr="009342BD">
        <w:rPr>
          <w:iCs/>
        </w:rPr>
        <w:t>illu</w:t>
      </w:r>
      <w:r w:rsidR="009E255D" w:rsidRPr="009342BD">
        <w:rPr>
          <w:iCs/>
        </w:rPr>
        <w:t>s</w:t>
      </w:r>
      <w:r w:rsidR="009E255D" w:rsidRPr="009342BD">
        <w:rPr>
          <w:iCs/>
        </w:rPr>
        <w:t>trations in the figure:</w:t>
      </w:r>
    </w:p>
    <w:p w14:paraId="019345BD" w14:textId="2F4EAB25" w:rsidR="009E255D" w:rsidRPr="009342BD" w:rsidRDefault="00193430" w:rsidP="00607DB6">
      <w:pPr>
        <w:spacing w:beforeLines="100" w:before="240" w:afterLines="100" w:after="240" w:line="240" w:lineRule="auto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A+B+C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-ϕ</m:t>
            </m:r>
          </m:sup>
        </m:sSup>
      </m:oMath>
      <w:r w:rsidR="009E255D" w:rsidRPr="009342BD">
        <w:t xml:space="preserve"> </w:t>
      </w:r>
    </w:p>
    <w:p w14:paraId="395A802F" w14:textId="46AAE38B" w:rsidR="00410F6D" w:rsidRPr="009342BD" w:rsidRDefault="009E255D" w:rsidP="009C31DD">
      <w:pPr>
        <w:spacing w:beforeLines="100" w:before="240" w:afterLines="100" w:after="240" w:line="360" w:lineRule="exact"/>
        <w:jc w:val="both"/>
      </w:pPr>
      <w:r w:rsidRPr="009342BD">
        <w:t xml:space="preserve">If observations below </w:t>
      </w:r>
      <m:oMath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w</m:t>
            </m:r>
          </m:e>
        </m:bar>
      </m:oMath>
      <w:r w:rsidRPr="009342BD">
        <w:t xml:space="preserve"> come from an exponential distribution and we force the use of the condition above to estimate the thickness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</m:oMath>
      <w:r w:rsidRPr="009342BD">
        <w:t>, then we have:</w:t>
      </w:r>
    </w:p>
    <w:p w14:paraId="3ABC9A1E" w14:textId="22F048D9" w:rsidR="00410F6D" w:rsidRPr="009342BD" w:rsidRDefault="00193430" w:rsidP="00607DB6">
      <w:pPr>
        <w:spacing w:beforeLines="100" w:before="240" w:afterLines="100" w:after="240" w:line="240" w:lineRule="auto"/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num>
          <m:den>
            <m:r>
              <w:rPr>
                <w:rFonts w:ascii="Cambria Math" w:hAnsi="Cambria Math"/>
              </w:rPr>
              <m:t>1-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B+C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</m:t>
            </m:r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ϕ</m:t>
                </m:r>
              </m:e>
            </m:acc>
          </m:sup>
        </m:sSup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A+B+C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w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-ϕ</m:t>
            </m:r>
          </m:sup>
        </m:sSup>
      </m:oMath>
      <w:r w:rsidR="009E255D" w:rsidRPr="009342BD">
        <w:t xml:space="preserve"> </w:t>
      </w:r>
    </w:p>
    <w:p w14:paraId="41FA2C9D" w14:textId="31B30E83" w:rsidR="00410F6D" w:rsidRPr="009342BD" w:rsidRDefault="009E3ADE" w:rsidP="009C31DD">
      <w:pPr>
        <w:spacing w:beforeLines="100" w:before="240" w:afterLines="100" w:after="240" w:line="360" w:lineRule="exact"/>
        <w:jc w:val="both"/>
      </w:pPr>
      <w:r w:rsidRPr="009342BD">
        <w:t xml:space="preserve">Simple analysis leads to the conclusion that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&lt;ϕ</m:t>
        </m:r>
      </m:oMath>
      <w:r w:rsidRPr="009342BD">
        <w:t xml:space="preserve">. </w:t>
      </w:r>
      <m:oMath>
        <m:r>
          <w:rPr>
            <w:rFonts w:ascii="Cambria Math" w:hAnsi="Cambria Math"/>
          </w:rPr>
          <m:t>∎</m:t>
        </m:r>
      </m:oMath>
    </w:p>
    <w:p w14:paraId="3F94C69E" w14:textId="30A7E5D7" w:rsidR="009E3ADE" w:rsidRPr="009342BD" w:rsidRDefault="00FF4A6F" w:rsidP="009C31DD">
      <w:pPr>
        <w:spacing w:beforeLines="100" w:before="240" w:afterLines="100" w:after="240" w:line="360" w:lineRule="exact"/>
        <w:jc w:val="both"/>
      </w:pPr>
      <w:r w:rsidRPr="009342BD">
        <w:t xml:space="preserve">In fact, this proof </w:t>
      </w:r>
      <w:r w:rsidR="00FC54C4" w:rsidRPr="009342BD">
        <w:t xml:space="preserve">is not limited in exponential distribution. Any thinner distribution than the richest tail will have the same effect. That is why the rolling window estimation of </w:t>
      </w:r>
      <m:oMath>
        <m:r>
          <w:rPr>
            <w:rFonts w:ascii="Cambria Math" w:hAnsi="Cambria Math"/>
          </w:rPr>
          <m:t>ϕ</m:t>
        </m:r>
      </m:oMath>
      <w:r w:rsidR="00FC54C4" w:rsidRPr="009342BD">
        <w:t xml:space="preserve"> has a downward trend. A reverse trend is also possible if the distribution is thicker. The intuition behind this theorem is that the thickness of the tail for a combined distribution is boosted if the lower end is thinner.</w:t>
      </w:r>
    </w:p>
    <w:sectPr w:rsidR="009E3ADE" w:rsidRPr="009342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5428F8" w14:textId="77777777" w:rsidR="00193430" w:rsidRDefault="00193430" w:rsidP="000849A0">
      <w:pPr>
        <w:spacing w:after="0" w:line="240" w:lineRule="auto"/>
      </w:pPr>
      <w:r>
        <w:separator/>
      </w:r>
    </w:p>
  </w:endnote>
  <w:endnote w:type="continuationSeparator" w:id="0">
    <w:p w14:paraId="0918A51F" w14:textId="77777777" w:rsidR="00193430" w:rsidRDefault="00193430" w:rsidP="00084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8582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B2CA6B" w14:textId="77777777" w:rsidR="00BF3059" w:rsidRDefault="00BF30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B6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20C3188" w14:textId="77777777" w:rsidR="00BF3059" w:rsidRDefault="00BF3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A7209A" w14:textId="77777777" w:rsidR="00193430" w:rsidRDefault="00193430" w:rsidP="000849A0">
      <w:pPr>
        <w:spacing w:after="0" w:line="240" w:lineRule="auto"/>
      </w:pPr>
      <w:r>
        <w:separator/>
      </w:r>
    </w:p>
  </w:footnote>
  <w:footnote w:type="continuationSeparator" w:id="0">
    <w:p w14:paraId="2B0A1500" w14:textId="77777777" w:rsidR="00193430" w:rsidRDefault="00193430" w:rsidP="000849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E0403"/>
    <w:multiLevelType w:val="hybridMultilevel"/>
    <w:tmpl w:val="36722D1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AB1BB4"/>
    <w:multiLevelType w:val="hybridMultilevel"/>
    <w:tmpl w:val="1F766F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D92121"/>
    <w:multiLevelType w:val="hybridMultilevel"/>
    <w:tmpl w:val="44BEB4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2768C"/>
    <w:multiLevelType w:val="hybridMultilevel"/>
    <w:tmpl w:val="7612EF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82C6B"/>
    <w:multiLevelType w:val="multilevel"/>
    <w:tmpl w:val="64B0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2C934F83"/>
    <w:multiLevelType w:val="multilevel"/>
    <w:tmpl w:val="16CE5C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55166BBF"/>
    <w:multiLevelType w:val="hybridMultilevel"/>
    <w:tmpl w:val="8626E3F2"/>
    <w:lvl w:ilvl="0" w:tplc="373C88E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27E16"/>
    <w:multiLevelType w:val="hybridMultilevel"/>
    <w:tmpl w:val="F54645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6E07711"/>
    <w:multiLevelType w:val="hybridMultilevel"/>
    <w:tmpl w:val="2BB4F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402F95"/>
    <w:multiLevelType w:val="hybridMultilevel"/>
    <w:tmpl w:val="29F87B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"/>
  </w:num>
  <w:num w:numId="11">
    <w:abstractNumId w:val="9"/>
  </w:num>
  <w:num w:numId="12">
    <w:abstractNumId w:val="6"/>
  </w:num>
  <w:num w:numId="13">
    <w:abstractNumId w:val="5"/>
  </w:num>
  <w:num w:numId="14">
    <w:abstractNumId w:val="5"/>
  </w:num>
  <w:num w:numId="15">
    <w:abstractNumId w:val="5"/>
  </w:num>
  <w:num w:numId="16">
    <w:abstractNumId w:val="3"/>
  </w:num>
  <w:num w:numId="17">
    <w:abstractNumId w:val="5"/>
  </w:num>
  <w:num w:numId="18">
    <w:abstractNumId w:val="5"/>
  </w:num>
  <w:num w:numId="19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DF5"/>
    <w:rsid w:val="0000044C"/>
    <w:rsid w:val="000024EA"/>
    <w:rsid w:val="00002750"/>
    <w:rsid w:val="00003B23"/>
    <w:rsid w:val="00005645"/>
    <w:rsid w:val="00006106"/>
    <w:rsid w:val="0000615D"/>
    <w:rsid w:val="00007219"/>
    <w:rsid w:val="0000760B"/>
    <w:rsid w:val="0000779A"/>
    <w:rsid w:val="0001121C"/>
    <w:rsid w:val="00011434"/>
    <w:rsid w:val="00011A76"/>
    <w:rsid w:val="0001214F"/>
    <w:rsid w:val="00012C62"/>
    <w:rsid w:val="00013930"/>
    <w:rsid w:val="0001440F"/>
    <w:rsid w:val="00014821"/>
    <w:rsid w:val="000151C6"/>
    <w:rsid w:val="0001582B"/>
    <w:rsid w:val="00016670"/>
    <w:rsid w:val="0001688B"/>
    <w:rsid w:val="00020B7F"/>
    <w:rsid w:val="0002117B"/>
    <w:rsid w:val="0002188E"/>
    <w:rsid w:val="0002323B"/>
    <w:rsid w:val="0002324F"/>
    <w:rsid w:val="00023B0D"/>
    <w:rsid w:val="00024019"/>
    <w:rsid w:val="000240F8"/>
    <w:rsid w:val="00024184"/>
    <w:rsid w:val="00024398"/>
    <w:rsid w:val="00024D95"/>
    <w:rsid w:val="00025C84"/>
    <w:rsid w:val="000263E2"/>
    <w:rsid w:val="000273FC"/>
    <w:rsid w:val="000277AA"/>
    <w:rsid w:val="00027BBB"/>
    <w:rsid w:val="00027C5F"/>
    <w:rsid w:val="000304A8"/>
    <w:rsid w:val="00030582"/>
    <w:rsid w:val="00030A93"/>
    <w:rsid w:val="00031829"/>
    <w:rsid w:val="00031D86"/>
    <w:rsid w:val="00031EB2"/>
    <w:rsid w:val="0003266C"/>
    <w:rsid w:val="00032EEC"/>
    <w:rsid w:val="00034BC2"/>
    <w:rsid w:val="000357B4"/>
    <w:rsid w:val="00035B72"/>
    <w:rsid w:val="00035B97"/>
    <w:rsid w:val="00036242"/>
    <w:rsid w:val="00036330"/>
    <w:rsid w:val="00036618"/>
    <w:rsid w:val="0003752E"/>
    <w:rsid w:val="00037A66"/>
    <w:rsid w:val="0004002A"/>
    <w:rsid w:val="00041300"/>
    <w:rsid w:val="000415CE"/>
    <w:rsid w:val="00041E76"/>
    <w:rsid w:val="000429E4"/>
    <w:rsid w:val="00045DF9"/>
    <w:rsid w:val="000461F1"/>
    <w:rsid w:val="00046239"/>
    <w:rsid w:val="000473DA"/>
    <w:rsid w:val="00047D2B"/>
    <w:rsid w:val="000501C5"/>
    <w:rsid w:val="00051224"/>
    <w:rsid w:val="0005126F"/>
    <w:rsid w:val="00051D87"/>
    <w:rsid w:val="0005222F"/>
    <w:rsid w:val="0005225D"/>
    <w:rsid w:val="00052B96"/>
    <w:rsid w:val="0005329C"/>
    <w:rsid w:val="00054136"/>
    <w:rsid w:val="000542DF"/>
    <w:rsid w:val="000546BB"/>
    <w:rsid w:val="0005506C"/>
    <w:rsid w:val="00055B8B"/>
    <w:rsid w:val="00057C58"/>
    <w:rsid w:val="00060EB2"/>
    <w:rsid w:val="00061147"/>
    <w:rsid w:val="0006196E"/>
    <w:rsid w:val="00062A77"/>
    <w:rsid w:val="00062BB8"/>
    <w:rsid w:val="00064205"/>
    <w:rsid w:val="000648CC"/>
    <w:rsid w:val="00064AD0"/>
    <w:rsid w:val="00065432"/>
    <w:rsid w:val="000668DE"/>
    <w:rsid w:val="00070292"/>
    <w:rsid w:val="00070592"/>
    <w:rsid w:val="000707D2"/>
    <w:rsid w:val="00070A8A"/>
    <w:rsid w:val="00071230"/>
    <w:rsid w:val="00073018"/>
    <w:rsid w:val="00073164"/>
    <w:rsid w:val="00074DE9"/>
    <w:rsid w:val="00075486"/>
    <w:rsid w:val="00075DB4"/>
    <w:rsid w:val="00075E23"/>
    <w:rsid w:val="000765BA"/>
    <w:rsid w:val="00077759"/>
    <w:rsid w:val="00077BBB"/>
    <w:rsid w:val="00080367"/>
    <w:rsid w:val="00080446"/>
    <w:rsid w:val="00081027"/>
    <w:rsid w:val="00081396"/>
    <w:rsid w:val="000813A9"/>
    <w:rsid w:val="000816D7"/>
    <w:rsid w:val="00082908"/>
    <w:rsid w:val="00082CE3"/>
    <w:rsid w:val="000834B7"/>
    <w:rsid w:val="00083F0C"/>
    <w:rsid w:val="0008416C"/>
    <w:rsid w:val="000849A0"/>
    <w:rsid w:val="0008552D"/>
    <w:rsid w:val="00086F03"/>
    <w:rsid w:val="00087845"/>
    <w:rsid w:val="00087D29"/>
    <w:rsid w:val="00090567"/>
    <w:rsid w:val="00091642"/>
    <w:rsid w:val="00091A78"/>
    <w:rsid w:val="0009230D"/>
    <w:rsid w:val="0009298D"/>
    <w:rsid w:val="00093011"/>
    <w:rsid w:val="00093425"/>
    <w:rsid w:val="00093AEC"/>
    <w:rsid w:val="00093AFB"/>
    <w:rsid w:val="00094269"/>
    <w:rsid w:val="0009449F"/>
    <w:rsid w:val="000947EC"/>
    <w:rsid w:val="00094E4D"/>
    <w:rsid w:val="000954A1"/>
    <w:rsid w:val="000957B3"/>
    <w:rsid w:val="00096634"/>
    <w:rsid w:val="00096E9B"/>
    <w:rsid w:val="0009759C"/>
    <w:rsid w:val="00097F7E"/>
    <w:rsid w:val="000A07FF"/>
    <w:rsid w:val="000A0832"/>
    <w:rsid w:val="000A1073"/>
    <w:rsid w:val="000A16F3"/>
    <w:rsid w:val="000A286E"/>
    <w:rsid w:val="000A3088"/>
    <w:rsid w:val="000A344A"/>
    <w:rsid w:val="000A3737"/>
    <w:rsid w:val="000A3AF4"/>
    <w:rsid w:val="000A41D5"/>
    <w:rsid w:val="000A41E4"/>
    <w:rsid w:val="000A47B7"/>
    <w:rsid w:val="000A494D"/>
    <w:rsid w:val="000A4C2D"/>
    <w:rsid w:val="000A4CA9"/>
    <w:rsid w:val="000A4E10"/>
    <w:rsid w:val="000A53CE"/>
    <w:rsid w:val="000A5602"/>
    <w:rsid w:val="000A75D5"/>
    <w:rsid w:val="000A7FFE"/>
    <w:rsid w:val="000B067E"/>
    <w:rsid w:val="000B07FB"/>
    <w:rsid w:val="000B0CF1"/>
    <w:rsid w:val="000B1651"/>
    <w:rsid w:val="000B271E"/>
    <w:rsid w:val="000B331A"/>
    <w:rsid w:val="000B38EE"/>
    <w:rsid w:val="000B3DBF"/>
    <w:rsid w:val="000B439B"/>
    <w:rsid w:val="000B4ECF"/>
    <w:rsid w:val="000B5BE0"/>
    <w:rsid w:val="000B5D74"/>
    <w:rsid w:val="000B73DE"/>
    <w:rsid w:val="000B7E10"/>
    <w:rsid w:val="000C0416"/>
    <w:rsid w:val="000C06F1"/>
    <w:rsid w:val="000C0A2E"/>
    <w:rsid w:val="000C0F50"/>
    <w:rsid w:val="000C14AE"/>
    <w:rsid w:val="000C163A"/>
    <w:rsid w:val="000C182C"/>
    <w:rsid w:val="000C1B3E"/>
    <w:rsid w:val="000C3434"/>
    <w:rsid w:val="000C36D9"/>
    <w:rsid w:val="000C3F6E"/>
    <w:rsid w:val="000C48C7"/>
    <w:rsid w:val="000C4AEF"/>
    <w:rsid w:val="000C4BD0"/>
    <w:rsid w:val="000C4EDC"/>
    <w:rsid w:val="000C4EF3"/>
    <w:rsid w:val="000C5A33"/>
    <w:rsid w:val="000C6082"/>
    <w:rsid w:val="000C667C"/>
    <w:rsid w:val="000C66B7"/>
    <w:rsid w:val="000D0376"/>
    <w:rsid w:val="000D0C14"/>
    <w:rsid w:val="000D1140"/>
    <w:rsid w:val="000D127F"/>
    <w:rsid w:val="000D31FA"/>
    <w:rsid w:val="000D402D"/>
    <w:rsid w:val="000D4987"/>
    <w:rsid w:val="000D55E7"/>
    <w:rsid w:val="000D73FE"/>
    <w:rsid w:val="000D7ED8"/>
    <w:rsid w:val="000E1DB4"/>
    <w:rsid w:val="000E26C7"/>
    <w:rsid w:val="000E3C8B"/>
    <w:rsid w:val="000E404F"/>
    <w:rsid w:val="000E4572"/>
    <w:rsid w:val="000E4C8B"/>
    <w:rsid w:val="000E5543"/>
    <w:rsid w:val="000E58C3"/>
    <w:rsid w:val="000E5995"/>
    <w:rsid w:val="000E5D93"/>
    <w:rsid w:val="000E798A"/>
    <w:rsid w:val="000F12C4"/>
    <w:rsid w:val="000F1310"/>
    <w:rsid w:val="000F1680"/>
    <w:rsid w:val="000F1AC8"/>
    <w:rsid w:val="000F1E4B"/>
    <w:rsid w:val="000F2BAC"/>
    <w:rsid w:val="000F36D0"/>
    <w:rsid w:val="000F3CA2"/>
    <w:rsid w:val="000F567F"/>
    <w:rsid w:val="000F5DFE"/>
    <w:rsid w:val="000F790C"/>
    <w:rsid w:val="00101333"/>
    <w:rsid w:val="0010245E"/>
    <w:rsid w:val="00102715"/>
    <w:rsid w:val="001027B3"/>
    <w:rsid w:val="00102BC8"/>
    <w:rsid w:val="00102FAF"/>
    <w:rsid w:val="00103BEF"/>
    <w:rsid w:val="00103E5E"/>
    <w:rsid w:val="001048F4"/>
    <w:rsid w:val="00105A7A"/>
    <w:rsid w:val="00105D16"/>
    <w:rsid w:val="001064AB"/>
    <w:rsid w:val="00110257"/>
    <w:rsid w:val="0011180A"/>
    <w:rsid w:val="00111885"/>
    <w:rsid w:val="00111DA1"/>
    <w:rsid w:val="00113675"/>
    <w:rsid w:val="001143A6"/>
    <w:rsid w:val="00114CD3"/>
    <w:rsid w:val="00114FF5"/>
    <w:rsid w:val="001169C0"/>
    <w:rsid w:val="001178E2"/>
    <w:rsid w:val="00117966"/>
    <w:rsid w:val="001200DB"/>
    <w:rsid w:val="0012024D"/>
    <w:rsid w:val="001203EE"/>
    <w:rsid w:val="001212A3"/>
    <w:rsid w:val="001213AA"/>
    <w:rsid w:val="00121583"/>
    <w:rsid w:val="00121DB3"/>
    <w:rsid w:val="00121E87"/>
    <w:rsid w:val="0012209D"/>
    <w:rsid w:val="0012257C"/>
    <w:rsid w:val="001236C8"/>
    <w:rsid w:val="00123B77"/>
    <w:rsid w:val="00124AA8"/>
    <w:rsid w:val="001255D2"/>
    <w:rsid w:val="00125C8B"/>
    <w:rsid w:val="0012627C"/>
    <w:rsid w:val="001263EB"/>
    <w:rsid w:val="00130453"/>
    <w:rsid w:val="00130EC7"/>
    <w:rsid w:val="001311DD"/>
    <w:rsid w:val="001312D3"/>
    <w:rsid w:val="00131DC0"/>
    <w:rsid w:val="00131DE1"/>
    <w:rsid w:val="00132955"/>
    <w:rsid w:val="00132E49"/>
    <w:rsid w:val="001337A2"/>
    <w:rsid w:val="00133C7C"/>
    <w:rsid w:val="0013428A"/>
    <w:rsid w:val="0013449E"/>
    <w:rsid w:val="00134A20"/>
    <w:rsid w:val="00134B15"/>
    <w:rsid w:val="00134C8A"/>
    <w:rsid w:val="001353C6"/>
    <w:rsid w:val="00135F58"/>
    <w:rsid w:val="00136018"/>
    <w:rsid w:val="001367B7"/>
    <w:rsid w:val="001369DE"/>
    <w:rsid w:val="00136F31"/>
    <w:rsid w:val="001371CE"/>
    <w:rsid w:val="001406B9"/>
    <w:rsid w:val="0014149D"/>
    <w:rsid w:val="00141AE6"/>
    <w:rsid w:val="00142411"/>
    <w:rsid w:val="00143550"/>
    <w:rsid w:val="00144486"/>
    <w:rsid w:val="00144E1E"/>
    <w:rsid w:val="0014512F"/>
    <w:rsid w:val="00145F8F"/>
    <w:rsid w:val="001466A4"/>
    <w:rsid w:val="00146BF8"/>
    <w:rsid w:val="00146FE0"/>
    <w:rsid w:val="00147ABB"/>
    <w:rsid w:val="001510C9"/>
    <w:rsid w:val="0015172E"/>
    <w:rsid w:val="001531FF"/>
    <w:rsid w:val="00153542"/>
    <w:rsid w:val="00153AB9"/>
    <w:rsid w:val="00153BC3"/>
    <w:rsid w:val="00153F37"/>
    <w:rsid w:val="00154CFD"/>
    <w:rsid w:val="00155029"/>
    <w:rsid w:val="00155CDA"/>
    <w:rsid w:val="001561F2"/>
    <w:rsid w:val="00156743"/>
    <w:rsid w:val="00156B9C"/>
    <w:rsid w:val="001570DF"/>
    <w:rsid w:val="00157CF0"/>
    <w:rsid w:val="0016071B"/>
    <w:rsid w:val="00160765"/>
    <w:rsid w:val="00160B8E"/>
    <w:rsid w:val="0016145F"/>
    <w:rsid w:val="00161D9A"/>
    <w:rsid w:val="00161FCC"/>
    <w:rsid w:val="001622EB"/>
    <w:rsid w:val="0016429F"/>
    <w:rsid w:val="00164C8B"/>
    <w:rsid w:val="00165650"/>
    <w:rsid w:val="00165B6D"/>
    <w:rsid w:val="00166EE5"/>
    <w:rsid w:val="00166F5D"/>
    <w:rsid w:val="0016702F"/>
    <w:rsid w:val="00167845"/>
    <w:rsid w:val="00167A9E"/>
    <w:rsid w:val="00167CA9"/>
    <w:rsid w:val="00167F53"/>
    <w:rsid w:val="00170C74"/>
    <w:rsid w:val="00170FAC"/>
    <w:rsid w:val="0017164C"/>
    <w:rsid w:val="00171CE1"/>
    <w:rsid w:val="0017226B"/>
    <w:rsid w:val="001725BB"/>
    <w:rsid w:val="0017526E"/>
    <w:rsid w:val="001764C2"/>
    <w:rsid w:val="0018028E"/>
    <w:rsid w:val="001806BA"/>
    <w:rsid w:val="0018099F"/>
    <w:rsid w:val="00180A77"/>
    <w:rsid w:val="00181B6E"/>
    <w:rsid w:val="00182443"/>
    <w:rsid w:val="00184314"/>
    <w:rsid w:val="00184A6D"/>
    <w:rsid w:val="0018561C"/>
    <w:rsid w:val="00186164"/>
    <w:rsid w:val="001867C5"/>
    <w:rsid w:val="00186929"/>
    <w:rsid w:val="00186E94"/>
    <w:rsid w:val="00187A09"/>
    <w:rsid w:val="00187B68"/>
    <w:rsid w:val="00191C5B"/>
    <w:rsid w:val="00191DA6"/>
    <w:rsid w:val="00192F2F"/>
    <w:rsid w:val="00192F85"/>
    <w:rsid w:val="00193430"/>
    <w:rsid w:val="0019351C"/>
    <w:rsid w:val="00193AA7"/>
    <w:rsid w:val="00193C36"/>
    <w:rsid w:val="00195B34"/>
    <w:rsid w:val="00195F76"/>
    <w:rsid w:val="00196A52"/>
    <w:rsid w:val="001A0495"/>
    <w:rsid w:val="001A0C6D"/>
    <w:rsid w:val="001A0E02"/>
    <w:rsid w:val="001A28DA"/>
    <w:rsid w:val="001A2D64"/>
    <w:rsid w:val="001A2DF6"/>
    <w:rsid w:val="001A2F80"/>
    <w:rsid w:val="001A39CC"/>
    <w:rsid w:val="001A436D"/>
    <w:rsid w:val="001A4B5D"/>
    <w:rsid w:val="001A4CA1"/>
    <w:rsid w:val="001A58FD"/>
    <w:rsid w:val="001A61C3"/>
    <w:rsid w:val="001A6731"/>
    <w:rsid w:val="001A67B9"/>
    <w:rsid w:val="001A69B3"/>
    <w:rsid w:val="001A6DF6"/>
    <w:rsid w:val="001A7447"/>
    <w:rsid w:val="001A788E"/>
    <w:rsid w:val="001B01B4"/>
    <w:rsid w:val="001B0A5B"/>
    <w:rsid w:val="001B1662"/>
    <w:rsid w:val="001B1AAD"/>
    <w:rsid w:val="001B583F"/>
    <w:rsid w:val="001B59A8"/>
    <w:rsid w:val="001B6B6E"/>
    <w:rsid w:val="001B7203"/>
    <w:rsid w:val="001B73B9"/>
    <w:rsid w:val="001C02F2"/>
    <w:rsid w:val="001C0FE5"/>
    <w:rsid w:val="001C2464"/>
    <w:rsid w:val="001C2548"/>
    <w:rsid w:val="001C2FC5"/>
    <w:rsid w:val="001C3F0E"/>
    <w:rsid w:val="001C5317"/>
    <w:rsid w:val="001C57CE"/>
    <w:rsid w:val="001C6141"/>
    <w:rsid w:val="001C6816"/>
    <w:rsid w:val="001C695B"/>
    <w:rsid w:val="001C6FBA"/>
    <w:rsid w:val="001C73AA"/>
    <w:rsid w:val="001C76DC"/>
    <w:rsid w:val="001C7EE6"/>
    <w:rsid w:val="001D0229"/>
    <w:rsid w:val="001D0416"/>
    <w:rsid w:val="001D172B"/>
    <w:rsid w:val="001D1DB4"/>
    <w:rsid w:val="001D3B18"/>
    <w:rsid w:val="001D3F48"/>
    <w:rsid w:val="001D56DD"/>
    <w:rsid w:val="001E0826"/>
    <w:rsid w:val="001E1676"/>
    <w:rsid w:val="001E1757"/>
    <w:rsid w:val="001E1C33"/>
    <w:rsid w:val="001E2BFC"/>
    <w:rsid w:val="001E2F14"/>
    <w:rsid w:val="001E4181"/>
    <w:rsid w:val="001E4AC7"/>
    <w:rsid w:val="001E505F"/>
    <w:rsid w:val="001E5B2F"/>
    <w:rsid w:val="001E5D43"/>
    <w:rsid w:val="001E5DF0"/>
    <w:rsid w:val="001E62F0"/>
    <w:rsid w:val="001E7115"/>
    <w:rsid w:val="001F0BD9"/>
    <w:rsid w:val="001F129A"/>
    <w:rsid w:val="001F1367"/>
    <w:rsid w:val="001F2520"/>
    <w:rsid w:val="001F301E"/>
    <w:rsid w:val="001F3C1A"/>
    <w:rsid w:val="001F3C3A"/>
    <w:rsid w:val="001F6183"/>
    <w:rsid w:val="001F6B4E"/>
    <w:rsid w:val="001F6DDA"/>
    <w:rsid w:val="001F7570"/>
    <w:rsid w:val="001F7B8C"/>
    <w:rsid w:val="00200479"/>
    <w:rsid w:val="00201048"/>
    <w:rsid w:val="0020195F"/>
    <w:rsid w:val="00201A09"/>
    <w:rsid w:val="0020375A"/>
    <w:rsid w:val="00203E7D"/>
    <w:rsid w:val="002045AF"/>
    <w:rsid w:val="00205203"/>
    <w:rsid w:val="002067EE"/>
    <w:rsid w:val="00206838"/>
    <w:rsid w:val="00206D9F"/>
    <w:rsid w:val="0021014F"/>
    <w:rsid w:val="00210233"/>
    <w:rsid w:val="002102B5"/>
    <w:rsid w:val="002118A6"/>
    <w:rsid w:val="00211F2F"/>
    <w:rsid w:val="00212113"/>
    <w:rsid w:val="0021249F"/>
    <w:rsid w:val="0021291C"/>
    <w:rsid w:val="00212E4D"/>
    <w:rsid w:val="00212FA3"/>
    <w:rsid w:val="002131C1"/>
    <w:rsid w:val="002133F9"/>
    <w:rsid w:val="002138D8"/>
    <w:rsid w:val="00214446"/>
    <w:rsid w:val="002146F5"/>
    <w:rsid w:val="00215543"/>
    <w:rsid w:val="00215619"/>
    <w:rsid w:val="002167D7"/>
    <w:rsid w:val="0021742B"/>
    <w:rsid w:val="002206A9"/>
    <w:rsid w:val="00221260"/>
    <w:rsid w:val="00221D1E"/>
    <w:rsid w:val="0022201D"/>
    <w:rsid w:val="00222A80"/>
    <w:rsid w:val="00222E4F"/>
    <w:rsid w:val="002237C9"/>
    <w:rsid w:val="002238CD"/>
    <w:rsid w:val="002245FA"/>
    <w:rsid w:val="002248A3"/>
    <w:rsid w:val="0022495C"/>
    <w:rsid w:val="00225B32"/>
    <w:rsid w:val="00226417"/>
    <w:rsid w:val="002266CE"/>
    <w:rsid w:val="002273F6"/>
    <w:rsid w:val="002275BA"/>
    <w:rsid w:val="002329CB"/>
    <w:rsid w:val="00232D25"/>
    <w:rsid w:val="002337BD"/>
    <w:rsid w:val="00234314"/>
    <w:rsid w:val="002352A9"/>
    <w:rsid w:val="00235312"/>
    <w:rsid w:val="00235474"/>
    <w:rsid w:val="00235FE8"/>
    <w:rsid w:val="00236B65"/>
    <w:rsid w:val="00237723"/>
    <w:rsid w:val="0024017B"/>
    <w:rsid w:val="002403EA"/>
    <w:rsid w:val="002411DE"/>
    <w:rsid w:val="002415AE"/>
    <w:rsid w:val="00242394"/>
    <w:rsid w:val="0024352D"/>
    <w:rsid w:val="00243B67"/>
    <w:rsid w:val="002441D6"/>
    <w:rsid w:val="002445F5"/>
    <w:rsid w:val="0024464D"/>
    <w:rsid w:val="00244A4E"/>
    <w:rsid w:val="00246022"/>
    <w:rsid w:val="00246B30"/>
    <w:rsid w:val="00246CE5"/>
    <w:rsid w:val="002472AB"/>
    <w:rsid w:val="002501C4"/>
    <w:rsid w:val="0025048E"/>
    <w:rsid w:val="0025101B"/>
    <w:rsid w:val="00251181"/>
    <w:rsid w:val="002532F6"/>
    <w:rsid w:val="002535BF"/>
    <w:rsid w:val="00253F61"/>
    <w:rsid w:val="002543E6"/>
    <w:rsid w:val="0025532D"/>
    <w:rsid w:val="00255893"/>
    <w:rsid w:val="00256604"/>
    <w:rsid w:val="00257E58"/>
    <w:rsid w:val="00260ED3"/>
    <w:rsid w:val="00260EF7"/>
    <w:rsid w:val="00261BFC"/>
    <w:rsid w:val="002624D9"/>
    <w:rsid w:val="00263B9C"/>
    <w:rsid w:val="00263E33"/>
    <w:rsid w:val="00263E52"/>
    <w:rsid w:val="00264950"/>
    <w:rsid w:val="0026519C"/>
    <w:rsid w:val="002651B1"/>
    <w:rsid w:val="002652DC"/>
    <w:rsid w:val="0026661A"/>
    <w:rsid w:val="002666FE"/>
    <w:rsid w:val="00266913"/>
    <w:rsid w:val="0027054F"/>
    <w:rsid w:val="00270E2B"/>
    <w:rsid w:val="00271282"/>
    <w:rsid w:val="0027149E"/>
    <w:rsid w:val="0027150E"/>
    <w:rsid w:val="00271514"/>
    <w:rsid w:val="002725C6"/>
    <w:rsid w:val="002728C7"/>
    <w:rsid w:val="002733C0"/>
    <w:rsid w:val="00273655"/>
    <w:rsid w:val="00273688"/>
    <w:rsid w:val="00273FAB"/>
    <w:rsid w:val="002744D9"/>
    <w:rsid w:val="00274FC6"/>
    <w:rsid w:val="002754CA"/>
    <w:rsid w:val="002757A3"/>
    <w:rsid w:val="00275A96"/>
    <w:rsid w:val="00277412"/>
    <w:rsid w:val="002812BD"/>
    <w:rsid w:val="002818C2"/>
    <w:rsid w:val="0028201A"/>
    <w:rsid w:val="00282DA5"/>
    <w:rsid w:val="00283367"/>
    <w:rsid w:val="002839B0"/>
    <w:rsid w:val="00283F71"/>
    <w:rsid w:val="002853B5"/>
    <w:rsid w:val="00285415"/>
    <w:rsid w:val="002855F0"/>
    <w:rsid w:val="00286A95"/>
    <w:rsid w:val="002871EF"/>
    <w:rsid w:val="00287650"/>
    <w:rsid w:val="00287DF7"/>
    <w:rsid w:val="002907CC"/>
    <w:rsid w:val="00290B7E"/>
    <w:rsid w:val="00291AA2"/>
    <w:rsid w:val="0029236C"/>
    <w:rsid w:val="00294789"/>
    <w:rsid w:val="002954C0"/>
    <w:rsid w:val="00296A1D"/>
    <w:rsid w:val="00296A2E"/>
    <w:rsid w:val="00296B83"/>
    <w:rsid w:val="002971F0"/>
    <w:rsid w:val="002976B9"/>
    <w:rsid w:val="00297AD5"/>
    <w:rsid w:val="002A0074"/>
    <w:rsid w:val="002A0D4A"/>
    <w:rsid w:val="002A3265"/>
    <w:rsid w:val="002A3985"/>
    <w:rsid w:val="002A640B"/>
    <w:rsid w:val="002A7174"/>
    <w:rsid w:val="002A7375"/>
    <w:rsid w:val="002B0AA1"/>
    <w:rsid w:val="002B16D7"/>
    <w:rsid w:val="002B2C46"/>
    <w:rsid w:val="002B2E46"/>
    <w:rsid w:val="002B44A6"/>
    <w:rsid w:val="002B4F1B"/>
    <w:rsid w:val="002B5601"/>
    <w:rsid w:val="002B572B"/>
    <w:rsid w:val="002B5C2D"/>
    <w:rsid w:val="002B6192"/>
    <w:rsid w:val="002B768D"/>
    <w:rsid w:val="002B7AA4"/>
    <w:rsid w:val="002C0ED2"/>
    <w:rsid w:val="002C1346"/>
    <w:rsid w:val="002C14CB"/>
    <w:rsid w:val="002C30C6"/>
    <w:rsid w:val="002C33FA"/>
    <w:rsid w:val="002C3883"/>
    <w:rsid w:val="002C3968"/>
    <w:rsid w:val="002C466C"/>
    <w:rsid w:val="002C4ADF"/>
    <w:rsid w:val="002C4C31"/>
    <w:rsid w:val="002C4D64"/>
    <w:rsid w:val="002C5BB4"/>
    <w:rsid w:val="002C5FC4"/>
    <w:rsid w:val="002C61A1"/>
    <w:rsid w:val="002C6410"/>
    <w:rsid w:val="002C6652"/>
    <w:rsid w:val="002C7732"/>
    <w:rsid w:val="002C7E68"/>
    <w:rsid w:val="002D1AE4"/>
    <w:rsid w:val="002D1C60"/>
    <w:rsid w:val="002D2389"/>
    <w:rsid w:val="002D429B"/>
    <w:rsid w:val="002D5146"/>
    <w:rsid w:val="002D7194"/>
    <w:rsid w:val="002D7614"/>
    <w:rsid w:val="002D7C21"/>
    <w:rsid w:val="002D7E12"/>
    <w:rsid w:val="002E04C4"/>
    <w:rsid w:val="002E0597"/>
    <w:rsid w:val="002E15C4"/>
    <w:rsid w:val="002E193B"/>
    <w:rsid w:val="002E23F1"/>
    <w:rsid w:val="002E2C50"/>
    <w:rsid w:val="002E2C5A"/>
    <w:rsid w:val="002E35F6"/>
    <w:rsid w:val="002E3C51"/>
    <w:rsid w:val="002E3D05"/>
    <w:rsid w:val="002E3D10"/>
    <w:rsid w:val="002E60E7"/>
    <w:rsid w:val="002E71C1"/>
    <w:rsid w:val="002F02B4"/>
    <w:rsid w:val="002F06B6"/>
    <w:rsid w:val="002F0F6E"/>
    <w:rsid w:val="002F1241"/>
    <w:rsid w:val="002F125D"/>
    <w:rsid w:val="002F1B99"/>
    <w:rsid w:val="002F20F4"/>
    <w:rsid w:val="002F262B"/>
    <w:rsid w:val="002F3A28"/>
    <w:rsid w:val="002F3CCE"/>
    <w:rsid w:val="002F3D68"/>
    <w:rsid w:val="002F4621"/>
    <w:rsid w:val="002F5771"/>
    <w:rsid w:val="002F5F46"/>
    <w:rsid w:val="002F66D6"/>
    <w:rsid w:val="002F6E78"/>
    <w:rsid w:val="002F719F"/>
    <w:rsid w:val="00301862"/>
    <w:rsid w:val="0030234C"/>
    <w:rsid w:val="00302589"/>
    <w:rsid w:val="003033D2"/>
    <w:rsid w:val="00305D8E"/>
    <w:rsid w:val="00306979"/>
    <w:rsid w:val="0030794F"/>
    <w:rsid w:val="00312382"/>
    <w:rsid w:val="0031257D"/>
    <w:rsid w:val="003125FF"/>
    <w:rsid w:val="00314238"/>
    <w:rsid w:val="0031491B"/>
    <w:rsid w:val="00314CD6"/>
    <w:rsid w:val="00315490"/>
    <w:rsid w:val="00315A64"/>
    <w:rsid w:val="003161C7"/>
    <w:rsid w:val="00316C0C"/>
    <w:rsid w:val="00317545"/>
    <w:rsid w:val="00317A2B"/>
    <w:rsid w:val="00317AEA"/>
    <w:rsid w:val="00317FAE"/>
    <w:rsid w:val="00321147"/>
    <w:rsid w:val="00321349"/>
    <w:rsid w:val="00321732"/>
    <w:rsid w:val="00321DAA"/>
    <w:rsid w:val="00321F17"/>
    <w:rsid w:val="0032343D"/>
    <w:rsid w:val="00323984"/>
    <w:rsid w:val="00323ACD"/>
    <w:rsid w:val="00323D43"/>
    <w:rsid w:val="003240AE"/>
    <w:rsid w:val="00324A40"/>
    <w:rsid w:val="00325B88"/>
    <w:rsid w:val="0032636C"/>
    <w:rsid w:val="00326719"/>
    <w:rsid w:val="00326A55"/>
    <w:rsid w:val="00326B62"/>
    <w:rsid w:val="0032781A"/>
    <w:rsid w:val="00327CDC"/>
    <w:rsid w:val="00327E15"/>
    <w:rsid w:val="00327F76"/>
    <w:rsid w:val="0033284B"/>
    <w:rsid w:val="00332CCE"/>
    <w:rsid w:val="00333F39"/>
    <w:rsid w:val="003344DC"/>
    <w:rsid w:val="00334B45"/>
    <w:rsid w:val="00334C31"/>
    <w:rsid w:val="00335736"/>
    <w:rsid w:val="0033611C"/>
    <w:rsid w:val="0033631A"/>
    <w:rsid w:val="00336C14"/>
    <w:rsid w:val="0033778F"/>
    <w:rsid w:val="00337D56"/>
    <w:rsid w:val="0034042F"/>
    <w:rsid w:val="00341F45"/>
    <w:rsid w:val="003424C3"/>
    <w:rsid w:val="00342766"/>
    <w:rsid w:val="003427DE"/>
    <w:rsid w:val="003430AD"/>
    <w:rsid w:val="00344FD4"/>
    <w:rsid w:val="0034557A"/>
    <w:rsid w:val="00345F8A"/>
    <w:rsid w:val="00346323"/>
    <w:rsid w:val="003504DB"/>
    <w:rsid w:val="00351093"/>
    <w:rsid w:val="00351271"/>
    <w:rsid w:val="00351FBB"/>
    <w:rsid w:val="00352390"/>
    <w:rsid w:val="00352BA4"/>
    <w:rsid w:val="0035301C"/>
    <w:rsid w:val="00353197"/>
    <w:rsid w:val="00353B3E"/>
    <w:rsid w:val="00353F50"/>
    <w:rsid w:val="003544F1"/>
    <w:rsid w:val="00354712"/>
    <w:rsid w:val="003549A9"/>
    <w:rsid w:val="00354BC0"/>
    <w:rsid w:val="00354E13"/>
    <w:rsid w:val="00356976"/>
    <w:rsid w:val="00356AB3"/>
    <w:rsid w:val="00356D7F"/>
    <w:rsid w:val="00356FCA"/>
    <w:rsid w:val="0035701D"/>
    <w:rsid w:val="00357E47"/>
    <w:rsid w:val="00360216"/>
    <w:rsid w:val="0036100F"/>
    <w:rsid w:val="00361903"/>
    <w:rsid w:val="00361BE9"/>
    <w:rsid w:val="00362314"/>
    <w:rsid w:val="00363418"/>
    <w:rsid w:val="0036409F"/>
    <w:rsid w:val="003649E0"/>
    <w:rsid w:val="00364A7E"/>
    <w:rsid w:val="0036610E"/>
    <w:rsid w:val="00366DDF"/>
    <w:rsid w:val="003675E2"/>
    <w:rsid w:val="00367FDF"/>
    <w:rsid w:val="00370313"/>
    <w:rsid w:val="003705F7"/>
    <w:rsid w:val="00370F97"/>
    <w:rsid w:val="00370FCB"/>
    <w:rsid w:val="00371908"/>
    <w:rsid w:val="0037258E"/>
    <w:rsid w:val="00372D28"/>
    <w:rsid w:val="00373258"/>
    <w:rsid w:val="00373CD2"/>
    <w:rsid w:val="00373D5D"/>
    <w:rsid w:val="00373FD0"/>
    <w:rsid w:val="00374DCE"/>
    <w:rsid w:val="00375016"/>
    <w:rsid w:val="00376DB8"/>
    <w:rsid w:val="00377F86"/>
    <w:rsid w:val="00380416"/>
    <w:rsid w:val="0038042E"/>
    <w:rsid w:val="00380A13"/>
    <w:rsid w:val="00380FA0"/>
    <w:rsid w:val="00380FFA"/>
    <w:rsid w:val="00381950"/>
    <w:rsid w:val="00381AB8"/>
    <w:rsid w:val="00382943"/>
    <w:rsid w:val="00382E7C"/>
    <w:rsid w:val="00383DAC"/>
    <w:rsid w:val="003849D7"/>
    <w:rsid w:val="00384CEF"/>
    <w:rsid w:val="00384F91"/>
    <w:rsid w:val="003857DC"/>
    <w:rsid w:val="0038671D"/>
    <w:rsid w:val="00387240"/>
    <w:rsid w:val="00387B99"/>
    <w:rsid w:val="00390CED"/>
    <w:rsid w:val="00390F7F"/>
    <w:rsid w:val="003920BC"/>
    <w:rsid w:val="00393E3B"/>
    <w:rsid w:val="00395EE2"/>
    <w:rsid w:val="00396936"/>
    <w:rsid w:val="00397370"/>
    <w:rsid w:val="00397D53"/>
    <w:rsid w:val="003A060C"/>
    <w:rsid w:val="003A114C"/>
    <w:rsid w:val="003A2514"/>
    <w:rsid w:val="003A4192"/>
    <w:rsid w:val="003A615B"/>
    <w:rsid w:val="003A6DA3"/>
    <w:rsid w:val="003A7968"/>
    <w:rsid w:val="003B03A1"/>
    <w:rsid w:val="003B100B"/>
    <w:rsid w:val="003B2319"/>
    <w:rsid w:val="003B3948"/>
    <w:rsid w:val="003B4E66"/>
    <w:rsid w:val="003B4EEC"/>
    <w:rsid w:val="003B53CD"/>
    <w:rsid w:val="003B6D02"/>
    <w:rsid w:val="003B6F8F"/>
    <w:rsid w:val="003B70EB"/>
    <w:rsid w:val="003B72CF"/>
    <w:rsid w:val="003B7FF8"/>
    <w:rsid w:val="003C0BF3"/>
    <w:rsid w:val="003C1662"/>
    <w:rsid w:val="003C180C"/>
    <w:rsid w:val="003C25E4"/>
    <w:rsid w:val="003C287B"/>
    <w:rsid w:val="003C2C82"/>
    <w:rsid w:val="003C2CE0"/>
    <w:rsid w:val="003C2D2F"/>
    <w:rsid w:val="003C3574"/>
    <w:rsid w:val="003C4295"/>
    <w:rsid w:val="003C4821"/>
    <w:rsid w:val="003C5E22"/>
    <w:rsid w:val="003C5E3A"/>
    <w:rsid w:val="003C6EC9"/>
    <w:rsid w:val="003C7494"/>
    <w:rsid w:val="003C7D8F"/>
    <w:rsid w:val="003D02D0"/>
    <w:rsid w:val="003D0AD1"/>
    <w:rsid w:val="003D115B"/>
    <w:rsid w:val="003D11BB"/>
    <w:rsid w:val="003D1A8D"/>
    <w:rsid w:val="003D20B7"/>
    <w:rsid w:val="003D27EA"/>
    <w:rsid w:val="003D30E3"/>
    <w:rsid w:val="003D3E8D"/>
    <w:rsid w:val="003D3F6E"/>
    <w:rsid w:val="003D4993"/>
    <w:rsid w:val="003D6814"/>
    <w:rsid w:val="003E038F"/>
    <w:rsid w:val="003E0433"/>
    <w:rsid w:val="003E134E"/>
    <w:rsid w:val="003E15C9"/>
    <w:rsid w:val="003E264B"/>
    <w:rsid w:val="003E3C4C"/>
    <w:rsid w:val="003E41E2"/>
    <w:rsid w:val="003E62B0"/>
    <w:rsid w:val="003E63CD"/>
    <w:rsid w:val="003E64D2"/>
    <w:rsid w:val="003E69E7"/>
    <w:rsid w:val="003E6B40"/>
    <w:rsid w:val="003E71DF"/>
    <w:rsid w:val="003E7923"/>
    <w:rsid w:val="003F0233"/>
    <w:rsid w:val="003F08F7"/>
    <w:rsid w:val="003F0CBB"/>
    <w:rsid w:val="003F1904"/>
    <w:rsid w:val="003F1B27"/>
    <w:rsid w:val="003F22AA"/>
    <w:rsid w:val="003F4271"/>
    <w:rsid w:val="003F459B"/>
    <w:rsid w:val="003F4B17"/>
    <w:rsid w:val="003F4BDC"/>
    <w:rsid w:val="003F5694"/>
    <w:rsid w:val="003F6E3E"/>
    <w:rsid w:val="003F77ED"/>
    <w:rsid w:val="003F787D"/>
    <w:rsid w:val="0040041C"/>
    <w:rsid w:val="00400555"/>
    <w:rsid w:val="00400A0B"/>
    <w:rsid w:val="00400C89"/>
    <w:rsid w:val="00401033"/>
    <w:rsid w:val="00401602"/>
    <w:rsid w:val="00401D08"/>
    <w:rsid w:val="00402256"/>
    <w:rsid w:val="004029B1"/>
    <w:rsid w:val="00403997"/>
    <w:rsid w:val="00404735"/>
    <w:rsid w:val="004049B2"/>
    <w:rsid w:val="0040517B"/>
    <w:rsid w:val="00405241"/>
    <w:rsid w:val="00405252"/>
    <w:rsid w:val="004066DC"/>
    <w:rsid w:val="00406A43"/>
    <w:rsid w:val="0040734A"/>
    <w:rsid w:val="00407890"/>
    <w:rsid w:val="004079B5"/>
    <w:rsid w:val="00407D5D"/>
    <w:rsid w:val="00410194"/>
    <w:rsid w:val="00410341"/>
    <w:rsid w:val="004104D7"/>
    <w:rsid w:val="00410A4D"/>
    <w:rsid w:val="00410F6D"/>
    <w:rsid w:val="00411BEF"/>
    <w:rsid w:val="00411FED"/>
    <w:rsid w:val="00412463"/>
    <w:rsid w:val="00412D92"/>
    <w:rsid w:val="00412FB2"/>
    <w:rsid w:val="00413BCA"/>
    <w:rsid w:val="0041565F"/>
    <w:rsid w:val="0041641E"/>
    <w:rsid w:val="00416AB6"/>
    <w:rsid w:val="00417413"/>
    <w:rsid w:val="004174AD"/>
    <w:rsid w:val="004206C8"/>
    <w:rsid w:val="004212E3"/>
    <w:rsid w:val="00421427"/>
    <w:rsid w:val="00421705"/>
    <w:rsid w:val="004228A9"/>
    <w:rsid w:val="00422E5D"/>
    <w:rsid w:val="00422FCA"/>
    <w:rsid w:val="00424542"/>
    <w:rsid w:val="00424899"/>
    <w:rsid w:val="004257FD"/>
    <w:rsid w:val="00425C83"/>
    <w:rsid w:val="004260A7"/>
    <w:rsid w:val="004260E0"/>
    <w:rsid w:val="00426E6C"/>
    <w:rsid w:val="00427716"/>
    <w:rsid w:val="00427F8B"/>
    <w:rsid w:val="00430716"/>
    <w:rsid w:val="004327F0"/>
    <w:rsid w:val="004334D2"/>
    <w:rsid w:val="0043357E"/>
    <w:rsid w:val="0043363D"/>
    <w:rsid w:val="00433818"/>
    <w:rsid w:val="00433DF2"/>
    <w:rsid w:val="00433E3E"/>
    <w:rsid w:val="004358B2"/>
    <w:rsid w:val="00435C51"/>
    <w:rsid w:val="00440DFF"/>
    <w:rsid w:val="00440EA4"/>
    <w:rsid w:val="0044105A"/>
    <w:rsid w:val="0044116F"/>
    <w:rsid w:val="004411AE"/>
    <w:rsid w:val="00441C95"/>
    <w:rsid w:val="00441FF9"/>
    <w:rsid w:val="004422E4"/>
    <w:rsid w:val="004423DB"/>
    <w:rsid w:val="0044359D"/>
    <w:rsid w:val="00443641"/>
    <w:rsid w:val="004463AE"/>
    <w:rsid w:val="0044714D"/>
    <w:rsid w:val="004471A4"/>
    <w:rsid w:val="00447B97"/>
    <w:rsid w:val="00450870"/>
    <w:rsid w:val="00450CA7"/>
    <w:rsid w:val="00451702"/>
    <w:rsid w:val="0045284B"/>
    <w:rsid w:val="00452A43"/>
    <w:rsid w:val="00452FD2"/>
    <w:rsid w:val="00453873"/>
    <w:rsid w:val="00453DC0"/>
    <w:rsid w:val="0045526F"/>
    <w:rsid w:val="0046042B"/>
    <w:rsid w:val="0046086B"/>
    <w:rsid w:val="00462855"/>
    <w:rsid w:val="00462E20"/>
    <w:rsid w:val="00463EBD"/>
    <w:rsid w:val="00464553"/>
    <w:rsid w:val="00464AD6"/>
    <w:rsid w:val="004659FF"/>
    <w:rsid w:val="00466CC9"/>
    <w:rsid w:val="0046754E"/>
    <w:rsid w:val="0047182A"/>
    <w:rsid w:val="00472A50"/>
    <w:rsid w:val="00472B13"/>
    <w:rsid w:val="00473756"/>
    <w:rsid w:val="00473781"/>
    <w:rsid w:val="0047461B"/>
    <w:rsid w:val="00474957"/>
    <w:rsid w:val="004768D4"/>
    <w:rsid w:val="00477AB2"/>
    <w:rsid w:val="00477B80"/>
    <w:rsid w:val="00480E0E"/>
    <w:rsid w:val="00480F17"/>
    <w:rsid w:val="004811CE"/>
    <w:rsid w:val="00481E28"/>
    <w:rsid w:val="00481F7B"/>
    <w:rsid w:val="004830E0"/>
    <w:rsid w:val="00483152"/>
    <w:rsid w:val="0048333D"/>
    <w:rsid w:val="00483818"/>
    <w:rsid w:val="00483CAB"/>
    <w:rsid w:val="00483EA3"/>
    <w:rsid w:val="00484E2C"/>
    <w:rsid w:val="00485341"/>
    <w:rsid w:val="004857F4"/>
    <w:rsid w:val="00485D1F"/>
    <w:rsid w:val="0048671F"/>
    <w:rsid w:val="00490809"/>
    <w:rsid w:val="00490E72"/>
    <w:rsid w:val="0049147E"/>
    <w:rsid w:val="004919BE"/>
    <w:rsid w:val="004935F7"/>
    <w:rsid w:val="0049454C"/>
    <w:rsid w:val="00494877"/>
    <w:rsid w:val="00494A08"/>
    <w:rsid w:val="0049534F"/>
    <w:rsid w:val="00495B08"/>
    <w:rsid w:val="004962E2"/>
    <w:rsid w:val="00497871"/>
    <w:rsid w:val="004A088B"/>
    <w:rsid w:val="004A1813"/>
    <w:rsid w:val="004A1A2E"/>
    <w:rsid w:val="004A243F"/>
    <w:rsid w:val="004A2585"/>
    <w:rsid w:val="004A2FD7"/>
    <w:rsid w:val="004A3FEA"/>
    <w:rsid w:val="004A47DC"/>
    <w:rsid w:val="004A49CB"/>
    <w:rsid w:val="004A60A4"/>
    <w:rsid w:val="004A6423"/>
    <w:rsid w:val="004A69B7"/>
    <w:rsid w:val="004A6E3F"/>
    <w:rsid w:val="004B243C"/>
    <w:rsid w:val="004B263D"/>
    <w:rsid w:val="004B2E8C"/>
    <w:rsid w:val="004B3AA9"/>
    <w:rsid w:val="004B3B2B"/>
    <w:rsid w:val="004B3DDC"/>
    <w:rsid w:val="004B4B1B"/>
    <w:rsid w:val="004B59C3"/>
    <w:rsid w:val="004B5A90"/>
    <w:rsid w:val="004B5F1E"/>
    <w:rsid w:val="004B6976"/>
    <w:rsid w:val="004B6A6B"/>
    <w:rsid w:val="004C222D"/>
    <w:rsid w:val="004C22CC"/>
    <w:rsid w:val="004C2625"/>
    <w:rsid w:val="004C2ABC"/>
    <w:rsid w:val="004C4E19"/>
    <w:rsid w:val="004C5CB2"/>
    <w:rsid w:val="004C5EA3"/>
    <w:rsid w:val="004C658D"/>
    <w:rsid w:val="004C6881"/>
    <w:rsid w:val="004C6C0C"/>
    <w:rsid w:val="004C7FD5"/>
    <w:rsid w:val="004D0CD5"/>
    <w:rsid w:val="004D0EBE"/>
    <w:rsid w:val="004D134E"/>
    <w:rsid w:val="004D17F8"/>
    <w:rsid w:val="004D216C"/>
    <w:rsid w:val="004D2A50"/>
    <w:rsid w:val="004D2C33"/>
    <w:rsid w:val="004D31F8"/>
    <w:rsid w:val="004D3784"/>
    <w:rsid w:val="004D41B1"/>
    <w:rsid w:val="004D4C40"/>
    <w:rsid w:val="004D51F1"/>
    <w:rsid w:val="004D5371"/>
    <w:rsid w:val="004D54B3"/>
    <w:rsid w:val="004D566B"/>
    <w:rsid w:val="004D62A0"/>
    <w:rsid w:val="004E17C9"/>
    <w:rsid w:val="004E1976"/>
    <w:rsid w:val="004E1D15"/>
    <w:rsid w:val="004E3AB4"/>
    <w:rsid w:val="004E3AE5"/>
    <w:rsid w:val="004E3C64"/>
    <w:rsid w:val="004E5A9F"/>
    <w:rsid w:val="004E5C09"/>
    <w:rsid w:val="004E5FA9"/>
    <w:rsid w:val="004E6075"/>
    <w:rsid w:val="004E6C98"/>
    <w:rsid w:val="004E700B"/>
    <w:rsid w:val="004F01AB"/>
    <w:rsid w:val="004F03D3"/>
    <w:rsid w:val="004F0C06"/>
    <w:rsid w:val="004F0EA2"/>
    <w:rsid w:val="004F0F49"/>
    <w:rsid w:val="004F15A1"/>
    <w:rsid w:val="004F1E7F"/>
    <w:rsid w:val="004F2265"/>
    <w:rsid w:val="004F2B21"/>
    <w:rsid w:val="004F2D9B"/>
    <w:rsid w:val="004F38DC"/>
    <w:rsid w:val="004F3E84"/>
    <w:rsid w:val="004F3FEF"/>
    <w:rsid w:val="004F5581"/>
    <w:rsid w:val="004F55FF"/>
    <w:rsid w:val="004F655E"/>
    <w:rsid w:val="004F6EFB"/>
    <w:rsid w:val="004F7AB6"/>
    <w:rsid w:val="0050001A"/>
    <w:rsid w:val="0050049B"/>
    <w:rsid w:val="00500529"/>
    <w:rsid w:val="00500755"/>
    <w:rsid w:val="00501C1A"/>
    <w:rsid w:val="00501F26"/>
    <w:rsid w:val="005029E7"/>
    <w:rsid w:val="0050365D"/>
    <w:rsid w:val="005038FB"/>
    <w:rsid w:val="005043C4"/>
    <w:rsid w:val="00504475"/>
    <w:rsid w:val="00504504"/>
    <w:rsid w:val="00504C9B"/>
    <w:rsid w:val="00506D0E"/>
    <w:rsid w:val="00507AD8"/>
    <w:rsid w:val="00510069"/>
    <w:rsid w:val="005107BF"/>
    <w:rsid w:val="00510EA2"/>
    <w:rsid w:val="00511FEE"/>
    <w:rsid w:val="00512FCE"/>
    <w:rsid w:val="00514B2B"/>
    <w:rsid w:val="00514D2A"/>
    <w:rsid w:val="0051664E"/>
    <w:rsid w:val="00516EF0"/>
    <w:rsid w:val="005174FA"/>
    <w:rsid w:val="0051779A"/>
    <w:rsid w:val="00517B6F"/>
    <w:rsid w:val="00517FA6"/>
    <w:rsid w:val="0052065F"/>
    <w:rsid w:val="00520987"/>
    <w:rsid w:val="005209A7"/>
    <w:rsid w:val="005210FA"/>
    <w:rsid w:val="00521775"/>
    <w:rsid w:val="00523349"/>
    <w:rsid w:val="00524047"/>
    <w:rsid w:val="00524709"/>
    <w:rsid w:val="00524E1E"/>
    <w:rsid w:val="00524FC3"/>
    <w:rsid w:val="00525921"/>
    <w:rsid w:val="00526064"/>
    <w:rsid w:val="0052628E"/>
    <w:rsid w:val="0052755C"/>
    <w:rsid w:val="00527C1D"/>
    <w:rsid w:val="00530E32"/>
    <w:rsid w:val="005317C8"/>
    <w:rsid w:val="00532771"/>
    <w:rsid w:val="00532810"/>
    <w:rsid w:val="00532C74"/>
    <w:rsid w:val="00533DB1"/>
    <w:rsid w:val="0053453F"/>
    <w:rsid w:val="00534756"/>
    <w:rsid w:val="00536B71"/>
    <w:rsid w:val="005371F6"/>
    <w:rsid w:val="00540DC5"/>
    <w:rsid w:val="00541687"/>
    <w:rsid w:val="00542732"/>
    <w:rsid w:val="005435FD"/>
    <w:rsid w:val="00543733"/>
    <w:rsid w:val="00543AEA"/>
    <w:rsid w:val="0054459A"/>
    <w:rsid w:val="00544644"/>
    <w:rsid w:val="00544FD8"/>
    <w:rsid w:val="005457A6"/>
    <w:rsid w:val="00545A38"/>
    <w:rsid w:val="00545A8D"/>
    <w:rsid w:val="0054611D"/>
    <w:rsid w:val="00546526"/>
    <w:rsid w:val="0054677A"/>
    <w:rsid w:val="00546E20"/>
    <w:rsid w:val="00546F6B"/>
    <w:rsid w:val="0054718C"/>
    <w:rsid w:val="005477E7"/>
    <w:rsid w:val="00547CE4"/>
    <w:rsid w:val="00550353"/>
    <w:rsid w:val="005505C2"/>
    <w:rsid w:val="005509B6"/>
    <w:rsid w:val="00550F51"/>
    <w:rsid w:val="00550FB3"/>
    <w:rsid w:val="005515B1"/>
    <w:rsid w:val="005517BD"/>
    <w:rsid w:val="00551BB5"/>
    <w:rsid w:val="005527D2"/>
    <w:rsid w:val="0055287B"/>
    <w:rsid w:val="00552D11"/>
    <w:rsid w:val="005530A0"/>
    <w:rsid w:val="005534AA"/>
    <w:rsid w:val="005561FA"/>
    <w:rsid w:val="00557B7E"/>
    <w:rsid w:val="00560C9A"/>
    <w:rsid w:val="00560CCF"/>
    <w:rsid w:val="00561102"/>
    <w:rsid w:val="005614F5"/>
    <w:rsid w:val="0056257C"/>
    <w:rsid w:val="00562852"/>
    <w:rsid w:val="00562E59"/>
    <w:rsid w:val="005631DB"/>
    <w:rsid w:val="005634C7"/>
    <w:rsid w:val="0056354F"/>
    <w:rsid w:val="00563730"/>
    <w:rsid w:val="00563A4F"/>
    <w:rsid w:val="00564B7E"/>
    <w:rsid w:val="0056534E"/>
    <w:rsid w:val="00566618"/>
    <w:rsid w:val="0057013A"/>
    <w:rsid w:val="00572089"/>
    <w:rsid w:val="0057363F"/>
    <w:rsid w:val="00573C2B"/>
    <w:rsid w:val="00575688"/>
    <w:rsid w:val="00576321"/>
    <w:rsid w:val="00577BA5"/>
    <w:rsid w:val="005800A2"/>
    <w:rsid w:val="00580B04"/>
    <w:rsid w:val="00580FB0"/>
    <w:rsid w:val="00581144"/>
    <w:rsid w:val="0058270E"/>
    <w:rsid w:val="0058305C"/>
    <w:rsid w:val="005837BC"/>
    <w:rsid w:val="005856DF"/>
    <w:rsid w:val="0058579B"/>
    <w:rsid w:val="00585D07"/>
    <w:rsid w:val="00585DF1"/>
    <w:rsid w:val="00586C89"/>
    <w:rsid w:val="00587457"/>
    <w:rsid w:val="005905AA"/>
    <w:rsid w:val="005911CE"/>
    <w:rsid w:val="005912AF"/>
    <w:rsid w:val="00591F4D"/>
    <w:rsid w:val="0059240B"/>
    <w:rsid w:val="0059398F"/>
    <w:rsid w:val="00593A36"/>
    <w:rsid w:val="0059494D"/>
    <w:rsid w:val="00594FF0"/>
    <w:rsid w:val="00595CD5"/>
    <w:rsid w:val="00596338"/>
    <w:rsid w:val="00596C3B"/>
    <w:rsid w:val="00596E76"/>
    <w:rsid w:val="00597E2A"/>
    <w:rsid w:val="005A07D8"/>
    <w:rsid w:val="005A0930"/>
    <w:rsid w:val="005A11B3"/>
    <w:rsid w:val="005A1447"/>
    <w:rsid w:val="005A24CB"/>
    <w:rsid w:val="005A555D"/>
    <w:rsid w:val="005A68E9"/>
    <w:rsid w:val="005A7098"/>
    <w:rsid w:val="005A7183"/>
    <w:rsid w:val="005B0762"/>
    <w:rsid w:val="005B2E00"/>
    <w:rsid w:val="005B380E"/>
    <w:rsid w:val="005B3BE7"/>
    <w:rsid w:val="005B3F2F"/>
    <w:rsid w:val="005B461A"/>
    <w:rsid w:val="005B4BB3"/>
    <w:rsid w:val="005B4E01"/>
    <w:rsid w:val="005B5B90"/>
    <w:rsid w:val="005B5BFB"/>
    <w:rsid w:val="005B5E3B"/>
    <w:rsid w:val="005B663E"/>
    <w:rsid w:val="005B74EB"/>
    <w:rsid w:val="005B7B9D"/>
    <w:rsid w:val="005B7CAE"/>
    <w:rsid w:val="005C01E6"/>
    <w:rsid w:val="005C01FC"/>
    <w:rsid w:val="005C06F3"/>
    <w:rsid w:val="005C079E"/>
    <w:rsid w:val="005C08A0"/>
    <w:rsid w:val="005C0CC9"/>
    <w:rsid w:val="005C1263"/>
    <w:rsid w:val="005C188D"/>
    <w:rsid w:val="005C2FD3"/>
    <w:rsid w:val="005C33CE"/>
    <w:rsid w:val="005C4075"/>
    <w:rsid w:val="005C4280"/>
    <w:rsid w:val="005C488F"/>
    <w:rsid w:val="005C519B"/>
    <w:rsid w:val="005C53B9"/>
    <w:rsid w:val="005C5521"/>
    <w:rsid w:val="005C65D8"/>
    <w:rsid w:val="005C69A5"/>
    <w:rsid w:val="005C7D94"/>
    <w:rsid w:val="005D0505"/>
    <w:rsid w:val="005D0818"/>
    <w:rsid w:val="005D0AC8"/>
    <w:rsid w:val="005D1751"/>
    <w:rsid w:val="005D204E"/>
    <w:rsid w:val="005D277E"/>
    <w:rsid w:val="005D2E71"/>
    <w:rsid w:val="005D372A"/>
    <w:rsid w:val="005D3B10"/>
    <w:rsid w:val="005D623B"/>
    <w:rsid w:val="005D6647"/>
    <w:rsid w:val="005D6F5B"/>
    <w:rsid w:val="005D7B3A"/>
    <w:rsid w:val="005E0B16"/>
    <w:rsid w:val="005E0D82"/>
    <w:rsid w:val="005E2922"/>
    <w:rsid w:val="005E2BEA"/>
    <w:rsid w:val="005E34CE"/>
    <w:rsid w:val="005E4428"/>
    <w:rsid w:val="005E575B"/>
    <w:rsid w:val="005E5A44"/>
    <w:rsid w:val="005E6669"/>
    <w:rsid w:val="005E7366"/>
    <w:rsid w:val="005E7935"/>
    <w:rsid w:val="005E7A15"/>
    <w:rsid w:val="005F2A2C"/>
    <w:rsid w:val="005F2F98"/>
    <w:rsid w:val="005F31D1"/>
    <w:rsid w:val="005F3CEC"/>
    <w:rsid w:val="005F4478"/>
    <w:rsid w:val="005F4CBF"/>
    <w:rsid w:val="005F5391"/>
    <w:rsid w:val="005F550F"/>
    <w:rsid w:val="005F5A7B"/>
    <w:rsid w:val="005F5F16"/>
    <w:rsid w:val="005F72A8"/>
    <w:rsid w:val="005F749D"/>
    <w:rsid w:val="005F7665"/>
    <w:rsid w:val="005F7FCD"/>
    <w:rsid w:val="0060066D"/>
    <w:rsid w:val="00603066"/>
    <w:rsid w:val="00604E38"/>
    <w:rsid w:val="00605016"/>
    <w:rsid w:val="0060563E"/>
    <w:rsid w:val="006064CD"/>
    <w:rsid w:val="006064EA"/>
    <w:rsid w:val="00606C4C"/>
    <w:rsid w:val="00606E39"/>
    <w:rsid w:val="00606ED7"/>
    <w:rsid w:val="00607C63"/>
    <w:rsid w:val="00607DB6"/>
    <w:rsid w:val="0061061C"/>
    <w:rsid w:val="0061095A"/>
    <w:rsid w:val="00610B98"/>
    <w:rsid w:val="00611385"/>
    <w:rsid w:val="006127BA"/>
    <w:rsid w:val="00615097"/>
    <w:rsid w:val="00615FF8"/>
    <w:rsid w:val="00617051"/>
    <w:rsid w:val="00617EBB"/>
    <w:rsid w:val="00620ACC"/>
    <w:rsid w:val="00621350"/>
    <w:rsid w:val="0062170D"/>
    <w:rsid w:val="00621D5D"/>
    <w:rsid w:val="006225E6"/>
    <w:rsid w:val="006229FF"/>
    <w:rsid w:val="00622A19"/>
    <w:rsid w:val="00623E44"/>
    <w:rsid w:val="00624267"/>
    <w:rsid w:val="00624669"/>
    <w:rsid w:val="006261A8"/>
    <w:rsid w:val="006264A5"/>
    <w:rsid w:val="00626623"/>
    <w:rsid w:val="00627A7A"/>
    <w:rsid w:val="0063036F"/>
    <w:rsid w:val="00630780"/>
    <w:rsid w:val="00630996"/>
    <w:rsid w:val="00630A74"/>
    <w:rsid w:val="00631ECA"/>
    <w:rsid w:val="00632CA3"/>
    <w:rsid w:val="006353CC"/>
    <w:rsid w:val="00635AF1"/>
    <w:rsid w:val="006362FF"/>
    <w:rsid w:val="006364EA"/>
    <w:rsid w:val="00636A22"/>
    <w:rsid w:val="00636DC0"/>
    <w:rsid w:val="00637099"/>
    <w:rsid w:val="00637166"/>
    <w:rsid w:val="00637BA2"/>
    <w:rsid w:val="00637FFE"/>
    <w:rsid w:val="00640641"/>
    <w:rsid w:val="00642DAC"/>
    <w:rsid w:val="00642EB9"/>
    <w:rsid w:val="00643C04"/>
    <w:rsid w:val="006446B6"/>
    <w:rsid w:val="00645A74"/>
    <w:rsid w:val="0065207E"/>
    <w:rsid w:val="006530A5"/>
    <w:rsid w:val="0065357B"/>
    <w:rsid w:val="00653D2A"/>
    <w:rsid w:val="00655F2B"/>
    <w:rsid w:val="00656255"/>
    <w:rsid w:val="0065667E"/>
    <w:rsid w:val="00660EF2"/>
    <w:rsid w:val="00661F57"/>
    <w:rsid w:val="0066245F"/>
    <w:rsid w:val="00662724"/>
    <w:rsid w:val="0066284A"/>
    <w:rsid w:val="006634F9"/>
    <w:rsid w:val="00663B4D"/>
    <w:rsid w:val="00663CEA"/>
    <w:rsid w:val="00665173"/>
    <w:rsid w:val="006654BF"/>
    <w:rsid w:val="00665929"/>
    <w:rsid w:val="00665B95"/>
    <w:rsid w:val="00666141"/>
    <w:rsid w:val="00666415"/>
    <w:rsid w:val="0066660E"/>
    <w:rsid w:val="006668DA"/>
    <w:rsid w:val="00667DF1"/>
    <w:rsid w:val="006707F5"/>
    <w:rsid w:val="006709B5"/>
    <w:rsid w:val="00670B4E"/>
    <w:rsid w:val="00671931"/>
    <w:rsid w:val="00671969"/>
    <w:rsid w:val="00671E59"/>
    <w:rsid w:val="006721BD"/>
    <w:rsid w:val="00673428"/>
    <w:rsid w:val="00673E2D"/>
    <w:rsid w:val="00675338"/>
    <w:rsid w:val="00676FB1"/>
    <w:rsid w:val="00677D79"/>
    <w:rsid w:val="00680663"/>
    <w:rsid w:val="00680B7E"/>
    <w:rsid w:val="00680DD2"/>
    <w:rsid w:val="0068125E"/>
    <w:rsid w:val="006816D6"/>
    <w:rsid w:val="00681768"/>
    <w:rsid w:val="00681774"/>
    <w:rsid w:val="00681838"/>
    <w:rsid w:val="00681C48"/>
    <w:rsid w:val="00683936"/>
    <w:rsid w:val="00684188"/>
    <w:rsid w:val="0068504D"/>
    <w:rsid w:val="006851BF"/>
    <w:rsid w:val="00686180"/>
    <w:rsid w:val="0068753A"/>
    <w:rsid w:val="006875B1"/>
    <w:rsid w:val="00687BC8"/>
    <w:rsid w:val="00687E48"/>
    <w:rsid w:val="0069293F"/>
    <w:rsid w:val="006932A2"/>
    <w:rsid w:val="006932D0"/>
    <w:rsid w:val="00693592"/>
    <w:rsid w:val="00693F55"/>
    <w:rsid w:val="00694D33"/>
    <w:rsid w:val="00694F5B"/>
    <w:rsid w:val="006950E4"/>
    <w:rsid w:val="006954D2"/>
    <w:rsid w:val="00695612"/>
    <w:rsid w:val="00696D0F"/>
    <w:rsid w:val="006A09F3"/>
    <w:rsid w:val="006A0AD8"/>
    <w:rsid w:val="006A0C42"/>
    <w:rsid w:val="006A19BE"/>
    <w:rsid w:val="006A29F1"/>
    <w:rsid w:val="006A2DC1"/>
    <w:rsid w:val="006A495D"/>
    <w:rsid w:val="006A5A6D"/>
    <w:rsid w:val="006A5A87"/>
    <w:rsid w:val="006A6D43"/>
    <w:rsid w:val="006A77E0"/>
    <w:rsid w:val="006A7CC4"/>
    <w:rsid w:val="006B0667"/>
    <w:rsid w:val="006B0784"/>
    <w:rsid w:val="006B104C"/>
    <w:rsid w:val="006B1697"/>
    <w:rsid w:val="006B2E18"/>
    <w:rsid w:val="006B2E83"/>
    <w:rsid w:val="006B30A3"/>
    <w:rsid w:val="006B3479"/>
    <w:rsid w:val="006B36FD"/>
    <w:rsid w:val="006B57CC"/>
    <w:rsid w:val="006B590A"/>
    <w:rsid w:val="006B6151"/>
    <w:rsid w:val="006B6740"/>
    <w:rsid w:val="006B6FBA"/>
    <w:rsid w:val="006B71A4"/>
    <w:rsid w:val="006C0AE5"/>
    <w:rsid w:val="006C186D"/>
    <w:rsid w:val="006C2144"/>
    <w:rsid w:val="006C33C1"/>
    <w:rsid w:val="006C3C99"/>
    <w:rsid w:val="006C3F9A"/>
    <w:rsid w:val="006C4288"/>
    <w:rsid w:val="006C483C"/>
    <w:rsid w:val="006C55BE"/>
    <w:rsid w:val="006C5D39"/>
    <w:rsid w:val="006C61A6"/>
    <w:rsid w:val="006C61AF"/>
    <w:rsid w:val="006C633E"/>
    <w:rsid w:val="006C6D0E"/>
    <w:rsid w:val="006C7396"/>
    <w:rsid w:val="006C73D3"/>
    <w:rsid w:val="006C7534"/>
    <w:rsid w:val="006D0854"/>
    <w:rsid w:val="006D0FB2"/>
    <w:rsid w:val="006D11B3"/>
    <w:rsid w:val="006D1528"/>
    <w:rsid w:val="006D19C6"/>
    <w:rsid w:val="006D24D1"/>
    <w:rsid w:val="006D2822"/>
    <w:rsid w:val="006D44C4"/>
    <w:rsid w:val="006D54FC"/>
    <w:rsid w:val="006D5951"/>
    <w:rsid w:val="006D59B0"/>
    <w:rsid w:val="006D6099"/>
    <w:rsid w:val="006D60A2"/>
    <w:rsid w:val="006D648C"/>
    <w:rsid w:val="006E017D"/>
    <w:rsid w:val="006E062E"/>
    <w:rsid w:val="006E0CB7"/>
    <w:rsid w:val="006E1DC8"/>
    <w:rsid w:val="006E27DB"/>
    <w:rsid w:val="006E2B75"/>
    <w:rsid w:val="006E2F36"/>
    <w:rsid w:val="006E3092"/>
    <w:rsid w:val="006E398F"/>
    <w:rsid w:val="006E3DE6"/>
    <w:rsid w:val="006E3F5A"/>
    <w:rsid w:val="006E41FC"/>
    <w:rsid w:val="006E453F"/>
    <w:rsid w:val="006E4CDB"/>
    <w:rsid w:val="006E5BFC"/>
    <w:rsid w:val="006E610F"/>
    <w:rsid w:val="006E6B0D"/>
    <w:rsid w:val="006E7D83"/>
    <w:rsid w:val="006F0837"/>
    <w:rsid w:val="006F0BFD"/>
    <w:rsid w:val="006F198F"/>
    <w:rsid w:val="006F2D8E"/>
    <w:rsid w:val="006F3928"/>
    <w:rsid w:val="006F3D0B"/>
    <w:rsid w:val="006F3FE3"/>
    <w:rsid w:val="006F413F"/>
    <w:rsid w:val="006F49B3"/>
    <w:rsid w:val="006F4AAB"/>
    <w:rsid w:val="006F4EAB"/>
    <w:rsid w:val="006F58BB"/>
    <w:rsid w:val="006F5A79"/>
    <w:rsid w:val="006F6626"/>
    <w:rsid w:val="006F6B3B"/>
    <w:rsid w:val="006F73DA"/>
    <w:rsid w:val="007006FB"/>
    <w:rsid w:val="00702580"/>
    <w:rsid w:val="007025F2"/>
    <w:rsid w:val="00705BF6"/>
    <w:rsid w:val="00706715"/>
    <w:rsid w:val="0071011F"/>
    <w:rsid w:val="00712C5F"/>
    <w:rsid w:val="00712DAA"/>
    <w:rsid w:val="007130E3"/>
    <w:rsid w:val="00713443"/>
    <w:rsid w:val="0071397F"/>
    <w:rsid w:val="00713CC9"/>
    <w:rsid w:val="007144FD"/>
    <w:rsid w:val="0071477D"/>
    <w:rsid w:val="00714D67"/>
    <w:rsid w:val="007162DD"/>
    <w:rsid w:val="00717DBD"/>
    <w:rsid w:val="0072007E"/>
    <w:rsid w:val="00720D54"/>
    <w:rsid w:val="00721584"/>
    <w:rsid w:val="00722D96"/>
    <w:rsid w:val="00722F7A"/>
    <w:rsid w:val="00723873"/>
    <w:rsid w:val="007245C2"/>
    <w:rsid w:val="00725864"/>
    <w:rsid w:val="0072725E"/>
    <w:rsid w:val="007273C9"/>
    <w:rsid w:val="00727D81"/>
    <w:rsid w:val="007306AE"/>
    <w:rsid w:val="007320C9"/>
    <w:rsid w:val="0073351B"/>
    <w:rsid w:val="00734DFE"/>
    <w:rsid w:val="00735EA5"/>
    <w:rsid w:val="0073616B"/>
    <w:rsid w:val="00736B5D"/>
    <w:rsid w:val="007371E0"/>
    <w:rsid w:val="007374CB"/>
    <w:rsid w:val="0073758C"/>
    <w:rsid w:val="0073774B"/>
    <w:rsid w:val="00737943"/>
    <w:rsid w:val="00740033"/>
    <w:rsid w:val="00740A60"/>
    <w:rsid w:val="00741FED"/>
    <w:rsid w:val="0074220B"/>
    <w:rsid w:val="007424ED"/>
    <w:rsid w:val="0074282A"/>
    <w:rsid w:val="00742942"/>
    <w:rsid w:val="00743E1A"/>
    <w:rsid w:val="007447B3"/>
    <w:rsid w:val="00747084"/>
    <w:rsid w:val="0074790B"/>
    <w:rsid w:val="007507B6"/>
    <w:rsid w:val="00750D81"/>
    <w:rsid w:val="00751258"/>
    <w:rsid w:val="00751AF9"/>
    <w:rsid w:val="007522FD"/>
    <w:rsid w:val="00752F07"/>
    <w:rsid w:val="0075345C"/>
    <w:rsid w:val="007539B7"/>
    <w:rsid w:val="00753AB6"/>
    <w:rsid w:val="00753D7A"/>
    <w:rsid w:val="00754290"/>
    <w:rsid w:val="007544A5"/>
    <w:rsid w:val="007554E8"/>
    <w:rsid w:val="0075590A"/>
    <w:rsid w:val="00757074"/>
    <w:rsid w:val="00757986"/>
    <w:rsid w:val="00761499"/>
    <w:rsid w:val="007619E9"/>
    <w:rsid w:val="00761DD6"/>
    <w:rsid w:val="00762BA5"/>
    <w:rsid w:val="007631A2"/>
    <w:rsid w:val="00763623"/>
    <w:rsid w:val="00764555"/>
    <w:rsid w:val="00764C83"/>
    <w:rsid w:val="00766331"/>
    <w:rsid w:val="00766738"/>
    <w:rsid w:val="00767623"/>
    <w:rsid w:val="0076785E"/>
    <w:rsid w:val="007679F4"/>
    <w:rsid w:val="0077104C"/>
    <w:rsid w:val="007733CF"/>
    <w:rsid w:val="00773576"/>
    <w:rsid w:val="00773F7A"/>
    <w:rsid w:val="00775352"/>
    <w:rsid w:val="007758E4"/>
    <w:rsid w:val="00775D24"/>
    <w:rsid w:val="00776477"/>
    <w:rsid w:val="007765F1"/>
    <w:rsid w:val="00777682"/>
    <w:rsid w:val="00777B27"/>
    <w:rsid w:val="00777DF0"/>
    <w:rsid w:val="0078052D"/>
    <w:rsid w:val="007810A3"/>
    <w:rsid w:val="00781843"/>
    <w:rsid w:val="00781AD1"/>
    <w:rsid w:val="007820C1"/>
    <w:rsid w:val="00782728"/>
    <w:rsid w:val="00783D69"/>
    <w:rsid w:val="00783F5F"/>
    <w:rsid w:val="00785493"/>
    <w:rsid w:val="00785797"/>
    <w:rsid w:val="00786091"/>
    <w:rsid w:val="00786358"/>
    <w:rsid w:val="007863C5"/>
    <w:rsid w:val="007865B3"/>
    <w:rsid w:val="00786B42"/>
    <w:rsid w:val="00787196"/>
    <w:rsid w:val="00787EDB"/>
    <w:rsid w:val="0079091B"/>
    <w:rsid w:val="00790F57"/>
    <w:rsid w:val="00792A56"/>
    <w:rsid w:val="00792F29"/>
    <w:rsid w:val="00793D30"/>
    <w:rsid w:val="007940A0"/>
    <w:rsid w:val="00794B34"/>
    <w:rsid w:val="007953AC"/>
    <w:rsid w:val="00795FC2"/>
    <w:rsid w:val="00796947"/>
    <w:rsid w:val="00796E2B"/>
    <w:rsid w:val="0079707A"/>
    <w:rsid w:val="007974A8"/>
    <w:rsid w:val="007974CE"/>
    <w:rsid w:val="00797646"/>
    <w:rsid w:val="00797ED3"/>
    <w:rsid w:val="007A00AC"/>
    <w:rsid w:val="007A104E"/>
    <w:rsid w:val="007A1564"/>
    <w:rsid w:val="007A2DCA"/>
    <w:rsid w:val="007A5BA4"/>
    <w:rsid w:val="007A6891"/>
    <w:rsid w:val="007A697A"/>
    <w:rsid w:val="007A7692"/>
    <w:rsid w:val="007B0611"/>
    <w:rsid w:val="007B1C7A"/>
    <w:rsid w:val="007B5134"/>
    <w:rsid w:val="007B5D05"/>
    <w:rsid w:val="007B6024"/>
    <w:rsid w:val="007B6031"/>
    <w:rsid w:val="007B61E4"/>
    <w:rsid w:val="007B62DD"/>
    <w:rsid w:val="007B67A0"/>
    <w:rsid w:val="007B6A4B"/>
    <w:rsid w:val="007B6BDC"/>
    <w:rsid w:val="007B7C0A"/>
    <w:rsid w:val="007C1E0E"/>
    <w:rsid w:val="007C39C3"/>
    <w:rsid w:val="007C4083"/>
    <w:rsid w:val="007C49BE"/>
    <w:rsid w:val="007C53AC"/>
    <w:rsid w:val="007C56FA"/>
    <w:rsid w:val="007C5A27"/>
    <w:rsid w:val="007C5CB8"/>
    <w:rsid w:val="007C6DDE"/>
    <w:rsid w:val="007C715B"/>
    <w:rsid w:val="007C7D04"/>
    <w:rsid w:val="007D03FA"/>
    <w:rsid w:val="007D1284"/>
    <w:rsid w:val="007D2C0E"/>
    <w:rsid w:val="007D316A"/>
    <w:rsid w:val="007D3173"/>
    <w:rsid w:val="007D3C62"/>
    <w:rsid w:val="007D482A"/>
    <w:rsid w:val="007D4A0F"/>
    <w:rsid w:val="007D5B10"/>
    <w:rsid w:val="007D5C32"/>
    <w:rsid w:val="007D64AD"/>
    <w:rsid w:val="007D71E5"/>
    <w:rsid w:val="007D7711"/>
    <w:rsid w:val="007E018E"/>
    <w:rsid w:val="007E066A"/>
    <w:rsid w:val="007E1661"/>
    <w:rsid w:val="007E24E3"/>
    <w:rsid w:val="007E25C4"/>
    <w:rsid w:val="007E28FF"/>
    <w:rsid w:val="007E3ECD"/>
    <w:rsid w:val="007E3F0C"/>
    <w:rsid w:val="007E3F5D"/>
    <w:rsid w:val="007E4579"/>
    <w:rsid w:val="007E524C"/>
    <w:rsid w:val="007E5664"/>
    <w:rsid w:val="007E5669"/>
    <w:rsid w:val="007E58FB"/>
    <w:rsid w:val="007E5F30"/>
    <w:rsid w:val="007E67F0"/>
    <w:rsid w:val="007F01F1"/>
    <w:rsid w:val="007F0A67"/>
    <w:rsid w:val="007F0D23"/>
    <w:rsid w:val="007F0FF3"/>
    <w:rsid w:val="007F13C5"/>
    <w:rsid w:val="007F24DF"/>
    <w:rsid w:val="007F2C8C"/>
    <w:rsid w:val="007F31BF"/>
    <w:rsid w:val="007F3D3D"/>
    <w:rsid w:val="007F4FD0"/>
    <w:rsid w:val="007F5201"/>
    <w:rsid w:val="007F55C1"/>
    <w:rsid w:val="007F5D36"/>
    <w:rsid w:val="007F6F77"/>
    <w:rsid w:val="008000E2"/>
    <w:rsid w:val="0080035D"/>
    <w:rsid w:val="00800F64"/>
    <w:rsid w:val="00801567"/>
    <w:rsid w:val="008020FD"/>
    <w:rsid w:val="00802AB3"/>
    <w:rsid w:val="00802E34"/>
    <w:rsid w:val="00803956"/>
    <w:rsid w:val="008044EC"/>
    <w:rsid w:val="00805516"/>
    <w:rsid w:val="00805520"/>
    <w:rsid w:val="0080553B"/>
    <w:rsid w:val="008056FB"/>
    <w:rsid w:val="00805A0E"/>
    <w:rsid w:val="00805A25"/>
    <w:rsid w:val="00807948"/>
    <w:rsid w:val="008104CF"/>
    <w:rsid w:val="00810A27"/>
    <w:rsid w:val="00812144"/>
    <w:rsid w:val="008122D0"/>
    <w:rsid w:val="008123C6"/>
    <w:rsid w:val="00812F82"/>
    <w:rsid w:val="00813CD9"/>
    <w:rsid w:val="00813E0C"/>
    <w:rsid w:val="008146DC"/>
    <w:rsid w:val="00814A77"/>
    <w:rsid w:val="00814D4B"/>
    <w:rsid w:val="008159E2"/>
    <w:rsid w:val="008175D1"/>
    <w:rsid w:val="00817FB8"/>
    <w:rsid w:val="008201CF"/>
    <w:rsid w:val="00820DB7"/>
    <w:rsid w:val="00820E17"/>
    <w:rsid w:val="008216A3"/>
    <w:rsid w:val="00823E94"/>
    <w:rsid w:val="00824588"/>
    <w:rsid w:val="00824F39"/>
    <w:rsid w:val="0082569A"/>
    <w:rsid w:val="008265F3"/>
    <w:rsid w:val="00826648"/>
    <w:rsid w:val="00826754"/>
    <w:rsid w:val="00826AF2"/>
    <w:rsid w:val="00826D86"/>
    <w:rsid w:val="00830992"/>
    <w:rsid w:val="008310D3"/>
    <w:rsid w:val="00831300"/>
    <w:rsid w:val="008313BA"/>
    <w:rsid w:val="00831544"/>
    <w:rsid w:val="008321A3"/>
    <w:rsid w:val="00832A8F"/>
    <w:rsid w:val="00832C36"/>
    <w:rsid w:val="00832C81"/>
    <w:rsid w:val="00832E83"/>
    <w:rsid w:val="00833843"/>
    <w:rsid w:val="00834698"/>
    <w:rsid w:val="008354FD"/>
    <w:rsid w:val="00835987"/>
    <w:rsid w:val="00836279"/>
    <w:rsid w:val="00836294"/>
    <w:rsid w:val="00836BA3"/>
    <w:rsid w:val="00836D3A"/>
    <w:rsid w:val="00836E59"/>
    <w:rsid w:val="00840731"/>
    <w:rsid w:val="008408D9"/>
    <w:rsid w:val="00841B70"/>
    <w:rsid w:val="00843480"/>
    <w:rsid w:val="00844D3F"/>
    <w:rsid w:val="00845C99"/>
    <w:rsid w:val="00845E9D"/>
    <w:rsid w:val="00845EAF"/>
    <w:rsid w:val="008467A9"/>
    <w:rsid w:val="00846962"/>
    <w:rsid w:val="00847230"/>
    <w:rsid w:val="00851586"/>
    <w:rsid w:val="00851678"/>
    <w:rsid w:val="00851948"/>
    <w:rsid w:val="00852674"/>
    <w:rsid w:val="00852832"/>
    <w:rsid w:val="00854687"/>
    <w:rsid w:val="00854FB6"/>
    <w:rsid w:val="0085527B"/>
    <w:rsid w:val="008556FB"/>
    <w:rsid w:val="008571F8"/>
    <w:rsid w:val="0085745C"/>
    <w:rsid w:val="00857888"/>
    <w:rsid w:val="00857C73"/>
    <w:rsid w:val="00857FD2"/>
    <w:rsid w:val="00860BD9"/>
    <w:rsid w:val="00861E0F"/>
    <w:rsid w:val="008620CF"/>
    <w:rsid w:val="008623B3"/>
    <w:rsid w:val="008629CB"/>
    <w:rsid w:val="0086339E"/>
    <w:rsid w:val="0086375B"/>
    <w:rsid w:val="00863882"/>
    <w:rsid w:val="0086589A"/>
    <w:rsid w:val="0086712E"/>
    <w:rsid w:val="00867C6C"/>
    <w:rsid w:val="00870935"/>
    <w:rsid w:val="00872186"/>
    <w:rsid w:val="0087281C"/>
    <w:rsid w:val="00873924"/>
    <w:rsid w:val="00873FEA"/>
    <w:rsid w:val="00874F42"/>
    <w:rsid w:val="00875064"/>
    <w:rsid w:val="00875DD9"/>
    <w:rsid w:val="0087634C"/>
    <w:rsid w:val="00876AC3"/>
    <w:rsid w:val="00876BA7"/>
    <w:rsid w:val="008803EF"/>
    <w:rsid w:val="0088179E"/>
    <w:rsid w:val="00881DD7"/>
    <w:rsid w:val="008826C0"/>
    <w:rsid w:val="00883FD8"/>
    <w:rsid w:val="008848D3"/>
    <w:rsid w:val="00885A73"/>
    <w:rsid w:val="008871F6"/>
    <w:rsid w:val="00887667"/>
    <w:rsid w:val="00887D25"/>
    <w:rsid w:val="00887EF7"/>
    <w:rsid w:val="00892994"/>
    <w:rsid w:val="00893A5B"/>
    <w:rsid w:val="00893C49"/>
    <w:rsid w:val="00893D41"/>
    <w:rsid w:val="00894939"/>
    <w:rsid w:val="00894F97"/>
    <w:rsid w:val="008953DA"/>
    <w:rsid w:val="00896782"/>
    <w:rsid w:val="0089699C"/>
    <w:rsid w:val="00896DED"/>
    <w:rsid w:val="00896F45"/>
    <w:rsid w:val="00897AC3"/>
    <w:rsid w:val="008A07E0"/>
    <w:rsid w:val="008A2E6A"/>
    <w:rsid w:val="008A30C3"/>
    <w:rsid w:val="008A4428"/>
    <w:rsid w:val="008A604F"/>
    <w:rsid w:val="008A6E37"/>
    <w:rsid w:val="008A7524"/>
    <w:rsid w:val="008B0753"/>
    <w:rsid w:val="008B0A93"/>
    <w:rsid w:val="008B0B14"/>
    <w:rsid w:val="008B0D86"/>
    <w:rsid w:val="008B13AC"/>
    <w:rsid w:val="008B51E0"/>
    <w:rsid w:val="008B5448"/>
    <w:rsid w:val="008B5D6D"/>
    <w:rsid w:val="008B5FBD"/>
    <w:rsid w:val="008B72CC"/>
    <w:rsid w:val="008B758C"/>
    <w:rsid w:val="008B7F1E"/>
    <w:rsid w:val="008C0B63"/>
    <w:rsid w:val="008C0F25"/>
    <w:rsid w:val="008C20C9"/>
    <w:rsid w:val="008C2395"/>
    <w:rsid w:val="008C29D0"/>
    <w:rsid w:val="008C2BAA"/>
    <w:rsid w:val="008C5F47"/>
    <w:rsid w:val="008C61D7"/>
    <w:rsid w:val="008C6C29"/>
    <w:rsid w:val="008C7C4A"/>
    <w:rsid w:val="008D2827"/>
    <w:rsid w:val="008D2B3F"/>
    <w:rsid w:val="008D31AB"/>
    <w:rsid w:val="008D32C0"/>
    <w:rsid w:val="008D46E1"/>
    <w:rsid w:val="008D4E2D"/>
    <w:rsid w:val="008D5AA5"/>
    <w:rsid w:val="008D5F1C"/>
    <w:rsid w:val="008D6BD1"/>
    <w:rsid w:val="008D6F34"/>
    <w:rsid w:val="008D726E"/>
    <w:rsid w:val="008D771D"/>
    <w:rsid w:val="008E0501"/>
    <w:rsid w:val="008E066B"/>
    <w:rsid w:val="008E1C8D"/>
    <w:rsid w:val="008E3188"/>
    <w:rsid w:val="008E32CC"/>
    <w:rsid w:val="008E3E64"/>
    <w:rsid w:val="008E3EA2"/>
    <w:rsid w:val="008E4FE0"/>
    <w:rsid w:val="008E67C9"/>
    <w:rsid w:val="008E69DF"/>
    <w:rsid w:val="008E7201"/>
    <w:rsid w:val="008F1381"/>
    <w:rsid w:val="008F2686"/>
    <w:rsid w:val="008F26E9"/>
    <w:rsid w:val="008F299C"/>
    <w:rsid w:val="008F2A56"/>
    <w:rsid w:val="008F2E7A"/>
    <w:rsid w:val="008F2EA0"/>
    <w:rsid w:val="008F32B1"/>
    <w:rsid w:val="008F67CA"/>
    <w:rsid w:val="008F6CA4"/>
    <w:rsid w:val="008F6CF3"/>
    <w:rsid w:val="009005CF"/>
    <w:rsid w:val="00901A08"/>
    <w:rsid w:val="00902289"/>
    <w:rsid w:val="0090228F"/>
    <w:rsid w:val="00902CD5"/>
    <w:rsid w:val="00902D76"/>
    <w:rsid w:val="009036D8"/>
    <w:rsid w:val="009041E8"/>
    <w:rsid w:val="00905D10"/>
    <w:rsid w:val="00905EDA"/>
    <w:rsid w:val="0090706D"/>
    <w:rsid w:val="00910635"/>
    <w:rsid w:val="009119BF"/>
    <w:rsid w:val="0091263C"/>
    <w:rsid w:val="00913111"/>
    <w:rsid w:val="009132E8"/>
    <w:rsid w:val="009135E2"/>
    <w:rsid w:val="00913A7D"/>
    <w:rsid w:val="00914D4F"/>
    <w:rsid w:val="00917708"/>
    <w:rsid w:val="00917EE0"/>
    <w:rsid w:val="00920042"/>
    <w:rsid w:val="00920393"/>
    <w:rsid w:val="00920B32"/>
    <w:rsid w:val="00920BB6"/>
    <w:rsid w:val="0092104F"/>
    <w:rsid w:val="00923284"/>
    <w:rsid w:val="009232D4"/>
    <w:rsid w:val="00923F6A"/>
    <w:rsid w:val="00924F85"/>
    <w:rsid w:val="00925150"/>
    <w:rsid w:val="009251AC"/>
    <w:rsid w:val="00925967"/>
    <w:rsid w:val="009260DA"/>
    <w:rsid w:val="00926208"/>
    <w:rsid w:val="00930AF9"/>
    <w:rsid w:val="00931D3B"/>
    <w:rsid w:val="00932085"/>
    <w:rsid w:val="00932AC9"/>
    <w:rsid w:val="009334BB"/>
    <w:rsid w:val="00933A49"/>
    <w:rsid w:val="009342BD"/>
    <w:rsid w:val="009349A4"/>
    <w:rsid w:val="00934CD8"/>
    <w:rsid w:val="00935453"/>
    <w:rsid w:val="00935986"/>
    <w:rsid w:val="00935E51"/>
    <w:rsid w:val="00936D9A"/>
    <w:rsid w:val="0093759F"/>
    <w:rsid w:val="009412CA"/>
    <w:rsid w:val="009413F9"/>
    <w:rsid w:val="009458CD"/>
    <w:rsid w:val="00945A60"/>
    <w:rsid w:val="009462A7"/>
    <w:rsid w:val="0094705B"/>
    <w:rsid w:val="00947793"/>
    <w:rsid w:val="00947B4F"/>
    <w:rsid w:val="00951680"/>
    <w:rsid w:val="00953C7E"/>
    <w:rsid w:val="00953CC9"/>
    <w:rsid w:val="00953E03"/>
    <w:rsid w:val="0095437F"/>
    <w:rsid w:val="00954E48"/>
    <w:rsid w:val="0095677E"/>
    <w:rsid w:val="00957240"/>
    <w:rsid w:val="0095775F"/>
    <w:rsid w:val="00957A80"/>
    <w:rsid w:val="00960197"/>
    <w:rsid w:val="00961B02"/>
    <w:rsid w:val="0096316E"/>
    <w:rsid w:val="0096328E"/>
    <w:rsid w:val="0096368F"/>
    <w:rsid w:val="00963BFC"/>
    <w:rsid w:val="00963DC2"/>
    <w:rsid w:val="009641D9"/>
    <w:rsid w:val="009669EF"/>
    <w:rsid w:val="00967457"/>
    <w:rsid w:val="00967C59"/>
    <w:rsid w:val="00970D12"/>
    <w:rsid w:val="00970DB4"/>
    <w:rsid w:val="00971170"/>
    <w:rsid w:val="009714F1"/>
    <w:rsid w:val="00971EDC"/>
    <w:rsid w:val="00972DEF"/>
    <w:rsid w:val="009732A5"/>
    <w:rsid w:val="00973ADA"/>
    <w:rsid w:val="009743C1"/>
    <w:rsid w:val="009750A2"/>
    <w:rsid w:val="009759E8"/>
    <w:rsid w:val="00976663"/>
    <w:rsid w:val="00976D3E"/>
    <w:rsid w:val="009779E5"/>
    <w:rsid w:val="00977A88"/>
    <w:rsid w:val="00980245"/>
    <w:rsid w:val="00981404"/>
    <w:rsid w:val="00981BCF"/>
    <w:rsid w:val="0098250D"/>
    <w:rsid w:val="009831F6"/>
    <w:rsid w:val="00983436"/>
    <w:rsid w:val="009840D3"/>
    <w:rsid w:val="009855E0"/>
    <w:rsid w:val="00985CEF"/>
    <w:rsid w:val="009879D4"/>
    <w:rsid w:val="00990A02"/>
    <w:rsid w:val="00990A42"/>
    <w:rsid w:val="0099260E"/>
    <w:rsid w:val="00992694"/>
    <w:rsid w:val="00992B1F"/>
    <w:rsid w:val="0099389B"/>
    <w:rsid w:val="009939BB"/>
    <w:rsid w:val="00994013"/>
    <w:rsid w:val="0099438E"/>
    <w:rsid w:val="00994C8E"/>
    <w:rsid w:val="009950C0"/>
    <w:rsid w:val="00995359"/>
    <w:rsid w:val="00995410"/>
    <w:rsid w:val="009957BC"/>
    <w:rsid w:val="00996BFE"/>
    <w:rsid w:val="00997666"/>
    <w:rsid w:val="009A0711"/>
    <w:rsid w:val="009A0964"/>
    <w:rsid w:val="009A0D0F"/>
    <w:rsid w:val="009A1008"/>
    <w:rsid w:val="009A1F18"/>
    <w:rsid w:val="009A27AE"/>
    <w:rsid w:val="009A29D9"/>
    <w:rsid w:val="009A323F"/>
    <w:rsid w:val="009A333D"/>
    <w:rsid w:val="009A4E5F"/>
    <w:rsid w:val="009A75CA"/>
    <w:rsid w:val="009A7C17"/>
    <w:rsid w:val="009B0FE8"/>
    <w:rsid w:val="009B1065"/>
    <w:rsid w:val="009B127B"/>
    <w:rsid w:val="009B446A"/>
    <w:rsid w:val="009B4CAF"/>
    <w:rsid w:val="009B69B8"/>
    <w:rsid w:val="009B69E7"/>
    <w:rsid w:val="009B7DC7"/>
    <w:rsid w:val="009C0022"/>
    <w:rsid w:val="009C1720"/>
    <w:rsid w:val="009C2A7E"/>
    <w:rsid w:val="009C31DD"/>
    <w:rsid w:val="009C382E"/>
    <w:rsid w:val="009C5058"/>
    <w:rsid w:val="009C52CB"/>
    <w:rsid w:val="009C634F"/>
    <w:rsid w:val="009C6713"/>
    <w:rsid w:val="009C6DE5"/>
    <w:rsid w:val="009D00D1"/>
    <w:rsid w:val="009D10DC"/>
    <w:rsid w:val="009D20BE"/>
    <w:rsid w:val="009D21A5"/>
    <w:rsid w:val="009D21A9"/>
    <w:rsid w:val="009D29A8"/>
    <w:rsid w:val="009D45CF"/>
    <w:rsid w:val="009D6129"/>
    <w:rsid w:val="009D6A55"/>
    <w:rsid w:val="009D6FA1"/>
    <w:rsid w:val="009D7435"/>
    <w:rsid w:val="009E167F"/>
    <w:rsid w:val="009E16C8"/>
    <w:rsid w:val="009E1780"/>
    <w:rsid w:val="009E18A9"/>
    <w:rsid w:val="009E1F6C"/>
    <w:rsid w:val="009E255D"/>
    <w:rsid w:val="009E2999"/>
    <w:rsid w:val="009E3ADE"/>
    <w:rsid w:val="009E4306"/>
    <w:rsid w:val="009E4BC3"/>
    <w:rsid w:val="009E513C"/>
    <w:rsid w:val="009E5DAE"/>
    <w:rsid w:val="009E63DD"/>
    <w:rsid w:val="009E7B7D"/>
    <w:rsid w:val="009F1D34"/>
    <w:rsid w:val="009F2924"/>
    <w:rsid w:val="009F2B70"/>
    <w:rsid w:val="009F2EEA"/>
    <w:rsid w:val="009F3B69"/>
    <w:rsid w:val="009F4769"/>
    <w:rsid w:val="009F4A67"/>
    <w:rsid w:val="009F5842"/>
    <w:rsid w:val="009F607B"/>
    <w:rsid w:val="009F6531"/>
    <w:rsid w:val="009F67F4"/>
    <w:rsid w:val="009F7097"/>
    <w:rsid w:val="009F753D"/>
    <w:rsid w:val="00A0080A"/>
    <w:rsid w:val="00A00DEE"/>
    <w:rsid w:val="00A013F2"/>
    <w:rsid w:val="00A01748"/>
    <w:rsid w:val="00A01C06"/>
    <w:rsid w:val="00A03CB6"/>
    <w:rsid w:val="00A04124"/>
    <w:rsid w:val="00A047D4"/>
    <w:rsid w:val="00A06555"/>
    <w:rsid w:val="00A06B9F"/>
    <w:rsid w:val="00A079FD"/>
    <w:rsid w:val="00A11C21"/>
    <w:rsid w:val="00A1255C"/>
    <w:rsid w:val="00A13073"/>
    <w:rsid w:val="00A13827"/>
    <w:rsid w:val="00A138E6"/>
    <w:rsid w:val="00A13C1C"/>
    <w:rsid w:val="00A1405B"/>
    <w:rsid w:val="00A14DAD"/>
    <w:rsid w:val="00A15598"/>
    <w:rsid w:val="00A15633"/>
    <w:rsid w:val="00A16CE4"/>
    <w:rsid w:val="00A17013"/>
    <w:rsid w:val="00A1751F"/>
    <w:rsid w:val="00A17981"/>
    <w:rsid w:val="00A2071E"/>
    <w:rsid w:val="00A20B48"/>
    <w:rsid w:val="00A20CBB"/>
    <w:rsid w:val="00A223D4"/>
    <w:rsid w:val="00A2370F"/>
    <w:rsid w:val="00A24812"/>
    <w:rsid w:val="00A24C47"/>
    <w:rsid w:val="00A2522D"/>
    <w:rsid w:val="00A25B94"/>
    <w:rsid w:val="00A30332"/>
    <w:rsid w:val="00A306BC"/>
    <w:rsid w:val="00A3150D"/>
    <w:rsid w:val="00A31AE3"/>
    <w:rsid w:val="00A323C3"/>
    <w:rsid w:val="00A33663"/>
    <w:rsid w:val="00A33860"/>
    <w:rsid w:val="00A33A38"/>
    <w:rsid w:val="00A349BA"/>
    <w:rsid w:val="00A34B8E"/>
    <w:rsid w:val="00A3534C"/>
    <w:rsid w:val="00A355E9"/>
    <w:rsid w:val="00A36E30"/>
    <w:rsid w:val="00A37732"/>
    <w:rsid w:val="00A40149"/>
    <w:rsid w:val="00A41828"/>
    <w:rsid w:val="00A4221C"/>
    <w:rsid w:val="00A4317C"/>
    <w:rsid w:val="00A437B7"/>
    <w:rsid w:val="00A43883"/>
    <w:rsid w:val="00A4438D"/>
    <w:rsid w:val="00A44805"/>
    <w:rsid w:val="00A4522B"/>
    <w:rsid w:val="00A464F6"/>
    <w:rsid w:val="00A46BDA"/>
    <w:rsid w:val="00A47082"/>
    <w:rsid w:val="00A4773E"/>
    <w:rsid w:val="00A479B0"/>
    <w:rsid w:val="00A5008E"/>
    <w:rsid w:val="00A505B5"/>
    <w:rsid w:val="00A5097B"/>
    <w:rsid w:val="00A50FB9"/>
    <w:rsid w:val="00A5134E"/>
    <w:rsid w:val="00A5168B"/>
    <w:rsid w:val="00A5192B"/>
    <w:rsid w:val="00A52D72"/>
    <w:rsid w:val="00A54ACF"/>
    <w:rsid w:val="00A54FCF"/>
    <w:rsid w:val="00A55635"/>
    <w:rsid w:val="00A56248"/>
    <w:rsid w:val="00A56931"/>
    <w:rsid w:val="00A5792D"/>
    <w:rsid w:val="00A57B02"/>
    <w:rsid w:val="00A60091"/>
    <w:rsid w:val="00A61435"/>
    <w:rsid w:val="00A623EF"/>
    <w:rsid w:val="00A63958"/>
    <w:rsid w:val="00A64B58"/>
    <w:rsid w:val="00A64C5A"/>
    <w:rsid w:val="00A6717B"/>
    <w:rsid w:val="00A6729D"/>
    <w:rsid w:val="00A6777E"/>
    <w:rsid w:val="00A702C1"/>
    <w:rsid w:val="00A70A59"/>
    <w:rsid w:val="00A72B60"/>
    <w:rsid w:val="00A73918"/>
    <w:rsid w:val="00A75335"/>
    <w:rsid w:val="00A7748A"/>
    <w:rsid w:val="00A77E80"/>
    <w:rsid w:val="00A8182B"/>
    <w:rsid w:val="00A825AA"/>
    <w:rsid w:val="00A8297A"/>
    <w:rsid w:val="00A82B2F"/>
    <w:rsid w:val="00A8393E"/>
    <w:rsid w:val="00A84015"/>
    <w:rsid w:val="00A849C0"/>
    <w:rsid w:val="00A862A4"/>
    <w:rsid w:val="00A86E13"/>
    <w:rsid w:val="00A877A0"/>
    <w:rsid w:val="00A900D0"/>
    <w:rsid w:val="00A90B95"/>
    <w:rsid w:val="00A914A6"/>
    <w:rsid w:val="00A91741"/>
    <w:rsid w:val="00A92290"/>
    <w:rsid w:val="00A93AA7"/>
    <w:rsid w:val="00A95F6D"/>
    <w:rsid w:val="00A961FC"/>
    <w:rsid w:val="00AA00D9"/>
    <w:rsid w:val="00AA084F"/>
    <w:rsid w:val="00AA111F"/>
    <w:rsid w:val="00AA1179"/>
    <w:rsid w:val="00AA1418"/>
    <w:rsid w:val="00AA1565"/>
    <w:rsid w:val="00AA1BDB"/>
    <w:rsid w:val="00AA32BD"/>
    <w:rsid w:val="00AA5250"/>
    <w:rsid w:val="00AA6145"/>
    <w:rsid w:val="00AA700B"/>
    <w:rsid w:val="00AA71DC"/>
    <w:rsid w:val="00AA78EB"/>
    <w:rsid w:val="00AB0ECA"/>
    <w:rsid w:val="00AB19D9"/>
    <w:rsid w:val="00AB302B"/>
    <w:rsid w:val="00AB3F06"/>
    <w:rsid w:val="00AB4BA4"/>
    <w:rsid w:val="00AB4C49"/>
    <w:rsid w:val="00AB59CB"/>
    <w:rsid w:val="00AB5DB1"/>
    <w:rsid w:val="00AB6615"/>
    <w:rsid w:val="00AB6BD0"/>
    <w:rsid w:val="00AB7CB5"/>
    <w:rsid w:val="00AC025A"/>
    <w:rsid w:val="00AC03E4"/>
    <w:rsid w:val="00AC08CE"/>
    <w:rsid w:val="00AC1245"/>
    <w:rsid w:val="00AC1570"/>
    <w:rsid w:val="00AC22B2"/>
    <w:rsid w:val="00AC292D"/>
    <w:rsid w:val="00AC2DC0"/>
    <w:rsid w:val="00AC371D"/>
    <w:rsid w:val="00AC390E"/>
    <w:rsid w:val="00AC3926"/>
    <w:rsid w:val="00AC3BAE"/>
    <w:rsid w:val="00AC4400"/>
    <w:rsid w:val="00AC4D0F"/>
    <w:rsid w:val="00AC51C5"/>
    <w:rsid w:val="00AC573E"/>
    <w:rsid w:val="00AC594B"/>
    <w:rsid w:val="00AC5CC8"/>
    <w:rsid w:val="00AC76AA"/>
    <w:rsid w:val="00AD0636"/>
    <w:rsid w:val="00AD134F"/>
    <w:rsid w:val="00AD1AD5"/>
    <w:rsid w:val="00AD331F"/>
    <w:rsid w:val="00AD424F"/>
    <w:rsid w:val="00AD5AED"/>
    <w:rsid w:val="00AD689A"/>
    <w:rsid w:val="00AD6974"/>
    <w:rsid w:val="00AD6A71"/>
    <w:rsid w:val="00AD7419"/>
    <w:rsid w:val="00AE07C7"/>
    <w:rsid w:val="00AE0EAF"/>
    <w:rsid w:val="00AE1778"/>
    <w:rsid w:val="00AE1BB8"/>
    <w:rsid w:val="00AE2630"/>
    <w:rsid w:val="00AE2F46"/>
    <w:rsid w:val="00AE300E"/>
    <w:rsid w:val="00AE3A51"/>
    <w:rsid w:val="00AE3A84"/>
    <w:rsid w:val="00AE3FA8"/>
    <w:rsid w:val="00AE42F6"/>
    <w:rsid w:val="00AE4A6C"/>
    <w:rsid w:val="00AE4E75"/>
    <w:rsid w:val="00AE5788"/>
    <w:rsid w:val="00AE5C8E"/>
    <w:rsid w:val="00AE5DA9"/>
    <w:rsid w:val="00AE5F2B"/>
    <w:rsid w:val="00AF0D6A"/>
    <w:rsid w:val="00AF0F8E"/>
    <w:rsid w:val="00AF2850"/>
    <w:rsid w:val="00AF376B"/>
    <w:rsid w:val="00AF5196"/>
    <w:rsid w:val="00AF5EE0"/>
    <w:rsid w:val="00AF75BA"/>
    <w:rsid w:val="00AF78A5"/>
    <w:rsid w:val="00AF790D"/>
    <w:rsid w:val="00AF7D5F"/>
    <w:rsid w:val="00B00026"/>
    <w:rsid w:val="00B003D9"/>
    <w:rsid w:val="00B007AA"/>
    <w:rsid w:val="00B00832"/>
    <w:rsid w:val="00B01016"/>
    <w:rsid w:val="00B011D8"/>
    <w:rsid w:val="00B0122F"/>
    <w:rsid w:val="00B01AE7"/>
    <w:rsid w:val="00B01BDF"/>
    <w:rsid w:val="00B02295"/>
    <w:rsid w:val="00B036D8"/>
    <w:rsid w:val="00B037F9"/>
    <w:rsid w:val="00B05BF5"/>
    <w:rsid w:val="00B061A0"/>
    <w:rsid w:val="00B07258"/>
    <w:rsid w:val="00B076F3"/>
    <w:rsid w:val="00B07BA9"/>
    <w:rsid w:val="00B100C6"/>
    <w:rsid w:val="00B116CB"/>
    <w:rsid w:val="00B11B58"/>
    <w:rsid w:val="00B12042"/>
    <w:rsid w:val="00B1297C"/>
    <w:rsid w:val="00B13517"/>
    <w:rsid w:val="00B13946"/>
    <w:rsid w:val="00B13EE8"/>
    <w:rsid w:val="00B13F37"/>
    <w:rsid w:val="00B14947"/>
    <w:rsid w:val="00B1494B"/>
    <w:rsid w:val="00B1583A"/>
    <w:rsid w:val="00B1590F"/>
    <w:rsid w:val="00B17F56"/>
    <w:rsid w:val="00B20F4A"/>
    <w:rsid w:val="00B21520"/>
    <w:rsid w:val="00B21FCC"/>
    <w:rsid w:val="00B22408"/>
    <w:rsid w:val="00B22800"/>
    <w:rsid w:val="00B231F7"/>
    <w:rsid w:val="00B23816"/>
    <w:rsid w:val="00B241C7"/>
    <w:rsid w:val="00B24A14"/>
    <w:rsid w:val="00B262DC"/>
    <w:rsid w:val="00B271F1"/>
    <w:rsid w:val="00B30D07"/>
    <w:rsid w:val="00B30D75"/>
    <w:rsid w:val="00B320EE"/>
    <w:rsid w:val="00B33257"/>
    <w:rsid w:val="00B34C3F"/>
    <w:rsid w:val="00B366BB"/>
    <w:rsid w:val="00B37533"/>
    <w:rsid w:val="00B379C1"/>
    <w:rsid w:val="00B37A80"/>
    <w:rsid w:val="00B408D9"/>
    <w:rsid w:val="00B40914"/>
    <w:rsid w:val="00B41191"/>
    <w:rsid w:val="00B417AE"/>
    <w:rsid w:val="00B41EDD"/>
    <w:rsid w:val="00B41EF2"/>
    <w:rsid w:val="00B42528"/>
    <w:rsid w:val="00B426D5"/>
    <w:rsid w:val="00B42CDA"/>
    <w:rsid w:val="00B44966"/>
    <w:rsid w:val="00B4579A"/>
    <w:rsid w:val="00B50032"/>
    <w:rsid w:val="00B52362"/>
    <w:rsid w:val="00B53991"/>
    <w:rsid w:val="00B53993"/>
    <w:rsid w:val="00B55798"/>
    <w:rsid w:val="00B56058"/>
    <w:rsid w:val="00B563A4"/>
    <w:rsid w:val="00B5695B"/>
    <w:rsid w:val="00B57619"/>
    <w:rsid w:val="00B57C0A"/>
    <w:rsid w:val="00B603F7"/>
    <w:rsid w:val="00B6183C"/>
    <w:rsid w:val="00B621EE"/>
    <w:rsid w:val="00B624F0"/>
    <w:rsid w:val="00B62924"/>
    <w:rsid w:val="00B62D63"/>
    <w:rsid w:val="00B63ACA"/>
    <w:rsid w:val="00B6445B"/>
    <w:rsid w:val="00B64C83"/>
    <w:rsid w:val="00B64DF5"/>
    <w:rsid w:val="00B66077"/>
    <w:rsid w:val="00B66A42"/>
    <w:rsid w:val="00B66F9B"/>
    <w:rsid w:val="00B67A14"/>
    <w:rsid w:val="00B67D6A"/>
    <w:rsid w:val="00B7011A"/>
    <w:rsid w:val="00B72713"/>
    <w:rsid w:val="00B72BEC"/>
    <w:rsid w:val="00B731DC"/>
    <w:rsid w:val="00B736CC"/>
    <w:rsid w:val="00B740CA"/>
    <w:rsid w:val="00B746CF"/>
    <w:rsid w:val="00B74701"/>
    <w:rsid w:val="00B755E0"/>
    <w:rsid w:val="00B7619C"/>
    <w:rsid w:val="00B7644A"/>
    <w:rsid w:val="00B76CF7"/>
    <w:rsid w:val="00B772EC"/>
    <w:rsid w:val="00B778F1"/>
    <w:rsid w:val="00B779DF"/>
    <w:rsid w:val="00B77E51"/>
    <w:rsid w:val="00B8001A"/>
    <w:rsid w:val="00B8007C"/>
    <w:rsid w:val="00B811FB"/>
    <w:rsid w:val="00B81CCE"/>
    <w:rsid w:val="00B8222D"/>
    <w:rsid w:val="00B824F6"/>
    <w:rsid w:val="00B826BD"/>
    <w:rsid w:val="00B82AFD"/>
    <w:rsid w:val="00B83541"/>
    <w:rsid w:val="00B83C38"/>
    <w:rsid w:val="00B847F3"/>
    <w:rsid w:val="00B8567D"/>
    <w:rsid w:val="00B85830"/>
    <w:rsid w:val="00B86E67"/>
    <w:rsid w:val="00B8715E"/>
    <w:rsid w:val="00B877D7"/>
    <w:rsid w:val="00B87957"/>
    <w:rsid w:val="00B92181"/>
    <w:rsid w:val="00B925E9"/>
    <w:rsid w:val="00B927AC"/>
    <w:rsid w:val="00B93305"/>
    <w:rsid w:val="00B937DB"/>
    <w:rsid w:val="00B94218"/>
    <w:rsid w:val="00B943D8"/>
    <w:rsid w:val="00B94E78"/>
    <w:rsid w:val="00B9652A"/>
    <w:rsid w:val="00B972F4"/>
    <w:rsid w:val="00B97918"/>
    <w:rsid w:val="00BA188D"/>
    <w:rsid w:val="00BA289E"/>
    <w:rsid w:val="00BA28C5"/>
    <w:rsid w:val="00BA29D1"/>
    <w:rsid w:val="00BA2ADB"/>
    <w:rsid w:val="00BA36A6"/>
    <w:rsid w:val="00BA62B4"/>
    <w:rsid w:val="00BA6FE0"/>
    <w:rsid w:val="00BA749C"/>
    <w:rsid w:val="00BB1B76"/>
    <w:rsid w:val="00BB1EA7"/>
    <w:rsid w:val="00BB26EB"/>
    <w:rsid w:val="00BB342A"/>
    <w:rsid w:val="00BB3E89"/>
    <w:rsid w:val="00BB44C8"/>
    <w:rsid w:val="00BB4760"/>
    <w:rsid w:val="00BB4D53"/>
    <w:rsid w:val="00BB5766"/>
    <w:rsid w:val="00BB5A52"/>
    <w:rsid w:val="00BB5C4D"/>
    <w:rsid w:val="00BB6DCB"/>
    <w:rsid w:val="00BB6E40"/>
    <w:rsid w:val="00BB72A8"/>
    <w:rsid w:val="00BB78B4"/>
    <w:rsid w:val="00BB7F31"/>
    <w:rsid w:val="00BC0F36"/>
    <w:rsid w:val="00BC4154"/>
    <w:rsid w:val="00BC4661"/>
    <w:rsid w:val="00BC4681"/>
    <w:rsid w:val="00BC5436"/>
    <w:rsid w:val="00BC59BE"/>
    <w:rsid w:val="00BC5DE9"/>
    <w:rsid w:val="00BC66BC"/>
    <w:rsid w:val="00BC69B5"/>
    <w:rsid w:val="00BC6B0E"/>
    <w:rsid w:val="00BC6C28"/>
    <w:rsid w:val="00BC7C73"/>
    <w:rsid w:val="00BD0ABE"/>
    <w:rsid w:val="00BD17CA"/>
    <w:rsid w:val="00BD1DB7"/>
    <w:rsid w:val="00BD33B3"/>
    <w:rsid w:val="00BD47B3"/>
    <w:rsid w:val="00BD4C65"/>
    <w:rsid w:val="00BD4F1C"/>
    <w:rsid w:val="00BD5491"/>
    <w:rsid w:val="00BD54F1"/>
    <w:rsid w:val="00BD5579"/>
    <w:rsid w:val="00BD6EC7"/>
    <w:rsid w:val="00BD755B"/>
    <w:rsid w:val="00BE135B"/>
    <w:rsid w:val="00BE1449"/>
    <w:rsid w:val="00BE1781"/>
    <w:rsid w:val="00BE1924"/>
    <w:rsid w:val="00BE4A75"/>
    <w:rsid w:val="00BE57DA"/>
    <w:rsid w:val="00BE5830"/>
    <w:rsid w:val="00BE6959"/>
    <w:rsid w:val="00BE7AED"/>
    <w:rsid w:val="00BF06E2"/>
    <w:rsid w:val="00BF143E"/>
    <w:rsid w:val="00BF1474"/>
    <w:rsid w:val="00BF1E2F"/>
    <w:rsid w:val="00BF2759"/>
    <w:rsid w:val="00BF3059"/>
    <w:rsid w:val="00BF3568"/>
    <w:rsid w:val="00BF3B27"/>
    <w:rsid w:val="00BF4A37"/>
    <w:rsid w:val="00BF501A"/>
    <w:rsid w:val="00BF5521"/>
    <w:rsid w:val="00BF6E71"/>
    <w:rsid w:val="00C02573"/>
    <w:rsid w:val="00C03677"/>
    <w:rsid w:val="00C0394C"/>
    <w:rsid w:val="00C03EC8"/>
    <w:rsid w:val="00C04073"/>
    <w:rsid w:val="00C043F2"/>
    <w:rsid w:val="00C04DE1"/>
    <w:rsid w:val="00C04FB2"/>
    <w:rsid w:val="00C051C2"/>
    <w:rsid w:val="00C0699A"/>
    <w:rsid w:val="00C07198"/>
    <w:rsid w:val="00C07B4E"/>
    <w:rsid w:val="00C10D64"/>
    <w:rsid w:val="00C114D8"/>
    <w:rsid w:val="00C11588"/>
    <w:rsid w:val="00C11AFC"/>
    <w:rsid w:val="00C120AC"/>
    <w:rsid w:val="00C130DA"/>
    <w:rsid w:val="00C13194"/>
    <w:rsid w:val="00C1361F"/>
    <w:rsid w:val="00C13642"/>
    <w:rsid w:val="00C14B00"/>
    <w:rsid w:val="00C16E53"/>
    <w:rsid w:val="00C17945"/>
    <w:rsid w:val="00C17D34"/>
    <w:rsid w:val="00C20266"/>
    <w:rsid w:val="00C20738"/>
    <w:rsid w:val="00C20B1F"/>
    <w:rsid w:val="00C2136F"/>
    <w:rsid w:val="00C22387"/>
    <w:rsid w:val="00C22B9E"/>
    <w:rsid w:val="00C2392A"/>
    <w:rsid w:val="00C24036"/>
    <w:rsid w:val="00C265B9"/>
    <w:rsid w:val="00C27670"/>
    <w:rsid w:val="00C27982"/>
    <w:rsid w:val="00C309D7"/>
    <w:rsid w:val="00C3174E"/>
    <w:rsid w:val="00C3288F"/>
    <w:rsid w:val="00C35A0E"/>
    <w:rsid w:val="00C36A38"/>
    <w:rsid w:val="00C36AD4"/>
    <w:rsid w:val="00C371F7"/>
    <w:rsid w:val="00C3750E"/>
    <w:rsid w:val="00C425BA"/>
    <w:rsid w:val="00C4341B"/>
    <w:rsid w:val="00C43D59"/>
    <w:rsid w:val="00C44B36"/>
    <w:rsid w:val="00C44DFA"/>
    <w:rsid w:val="00C45532"/>
    <w:rsid w:val="00C460E5"/>
    <w:rsid w:val="00C462EC"/>
    <w:rsid w:val="00C4640A"/>
    <w:rsid w:val="00C4641C"/>
    <w:rsid w:val="00C46619"/>
    <w:rsid w:val="00C46C0D"/>
    <w:rsid w:val="00C47856"/>
    <w:rsid w:val="00C47AC1"/>
    <w:rsid w:val="00C509EA"/>
    <w:rsid w:val="00C51AF9"/>
    <w:rsid w:val="00C51C5B"/>
    <w:rsid w:val="00C525B0"/>
    <w:rsid w:val="00C53576"/>
    <w:rsid w:val="00C535F5"/>
    <w:rsid w:val="00C54592"/>
    <w:rsid w:val="00C55AC6"/>
    <w:rsid w:val="00C55DF8"/>
    <w:rsid w:val="00C560C8"/>
    <w:rsid w:val="00C57423"/>
    <w:rsid w:val="00C6004D"/>
    <w:rsid w:val="00C61F50"/>
    <w:rsid w:val="00C6253E"/>
    <w:rsid w:val="00C62D4E"/>
    <w:rsid w:val="00C64D4C"/>
    <w:rsid w:val="00C65748"/>
    <w:rsid w:val="00C657DC"/>
    <w:rsid w:val="00C658C4"/>
    <w:rsid w:val="00C663F6"/>
    <w:rsid w:val="00C66F1F"/>
    <w:rsid w:val="00C709CF"/>
    <w:rsid w:val="00C70FC2"/>
    <w:rsid w:val="00C71BE9"/>
    <w:rsid w:val="00C72776"/>
    <w:rsid w:val="00C730D1"/>
    <w:rsid w:val="00C73572"/>
    <w:rsid w:val="00C73A25"/>
    <w:rsid w:val="00C74AC5"/>
    <w:rsid w:val="00C74B51"/>
    <w:rsid w:val="00C74E06"/>
    <w:rsid w:val="00C74F6C"/>
    <w:rsid w:val="00C75016"/>
    <w:rsid w:val="00C751A2"/>
    <w:rsid w:val="00C75B80"/>
    <w:rsid w:val="00C76D3E"/>
    <w:rsid w:val="00C77110"/>
    <w:rsid w:val="00C773C0"/>
    <w:rsid w:val="00C805EC"/>
    <w:rsid w:val="00C8082C"/>
    <w:rsid w:val="00C8154E"/>
    <w:rsid w:val="00C817E4"/>
    <w:rsid w:val="00C83205"/>
    <w:rsid w:val="00C83213"/>
    <w:rsid w:val="00C8380B"/>
    <w:rsid w:val="00C85050"/>
    <w:rsid w:val="00C85279"/>
    <w:rsid w:val="00C85621"/>
    <w:rsid w:val="00C861B4"/>
    <w:rsid w:val="00C86E43"/>
    <w:rsid w:val="00C87043"/>
    <w:rsid w:val="00C87C66"/>
    <w:rsid w:val="00C90067"/>
    <w:rsid w:val="00C9034B"/>
    <w:rsid w:val="00C9094D"/>
    <w:rsid w:val="00C92230"/>
    <w:rsid w:val="00C93C76"/>
    <w:rsid w:val="00C9533B"/>
    <w:rsid w:val="00C95352"/>
    <w:rsid w:val="00C956B8"/>
    <w:rsid w:val="00C95A22"/>
    <w:rsid w:val="00C962E6"/>
    <w:rsid w:val="00C96BA4"/>
    <w:rsid w:val="00C970F0"/>
    <w:rsid w:val="00C977C1"/>
    <w:rsid w:val="00C97DEC"/>
    <w:rsid w:val="00CA0DB8"/>
    <w:rsid w:val="00CA1DA3"/>
    <w:rsid w:val="00CA1F90"/>
    <w:rsid w:val="00CA2905"/>
    <w:rsid w:val="00CA41F0"/>
    <w:rsid w:val="00CA4F62"/>
    <w:rsid w:val="00CA5259"/>
    <w:rsid w:val="00CA55DF"/>
    <w:rsid w:val="00CA5ACC"/>
    <w:rsid w:val="00CA5B4A"/>
    <w:rsid w:val="00CA5FF6"/>
    <w:rsid w:val="00CA6058"/>
    <w:rsid w:val="00CA65C1"/>
    <w:rsid w:val="00CA7395"/>
    <w:rsid w:val="00CB0279"/>
    <w:rsid w:val="00CB04A7"/>
    <w:rsid w:val="00CB0528"/>
    <w:rsid w:val="00CB0828"/>
    <w:rsid w:val="00CB08B2"/>
    <w:rsid w:val="00CB0D8D"/>
    <w:rsid w:val="00CB0E78"/>
    <w:rsid w:val="00CB103A"/>
    <w:rsid w:val="00CB1A0D"/>
    <w:rsid w:val="00CB1E65"/>
    <w:rsid w:val="00CB2738"/>
    <w:rsid w:val="00CB3E54"/>
    <w:rsid w:val="00CB4CB1"/>
    <w:rsid w:val="00CB4EFA"/>
    <w:rsid w:val="00CB579E"/>
    <w:rsid w:val="00CB5EE4"/>
    <w:rsid w:val="00CB5FC6"/>
    <w:rsid w:val="00CB6521"/>
    <w:rsid w:val="00CB65DB"/>
    <w:rsid w:val="00CB6B87"/>
    <w:rsid w:val="00CB6DEF"/>
    <w:rsid w:val="00CB7113"/>
    <w:rsid w:val="00CB7616"/>
    <w:rsid w:val="00CC0401"/>
    <w:rsid w:val="00CC1776"/>
    <w:rsid w:val="00CC17FE"/>
    <w:rsid w:val="00CC22A7"/>
    <w:rsid w:val="00CC22E4"/>
    <w:rsid w:val="00CC3421"/>
    <w:rsid w:val="00CC504D"/>
    <w:rsid w:val="00CC5378"/>
    <w:rsid w:val="00CC5463"/>
    <w:rsid w:val="00CC7E6D"/>
    <w:rsid w:val="00CD080A"/>
    <w:rsid w:val="00CD097B"/>
    <w:rsid w:val="00CD0E0C"/>
    <w:rsid w:val="00CD2E35"/>
    <w:rsid w:val="00CD2E95"/>
    <w:rsid w:val="00CD3127"/>
    <w:rsid w:val="00CD316D"/>
    <w:rsid w:val="00CD41F9"/>
    <w:rsid w:val="00CD4BCC"/>
    <w:rsid w:val="00CD4D98"/>
    <w:rsid w:val="00CD5095"/>
    <w:rsid w:val="00CD5ED4"/>
    <w:rsid w:val="00CD6AA7"/>
    <w:rsid w:val="00CD7477"/>
    <w:rsid w:val="00CD76C9"/>
    <w:rsid w:val="00CD7765"/>
    <w:rsid w:val="00CE0261"/>
    <w:rsid w:val="00CE4028"/>
    <w:rsid w:val="00CE450D"/>
    <w:rsid w:val="00CE5390"/>
    <w:rsid w:val="00CE5BAA"/>
    <w:rsid w:val="00CE765D"/>
    <w:rsid w:val="00CE7881"/>
    <w:rsid w:val="00CF13ED"/>
    <w:rsid w:val="00CF22C8"/>
    <w:rsid w:val="00CF3DAC"/>
    <w:rsid w:val="00CF3F72"/>
    <w:rsid w:val="00CF47DE"/>
    <w:rsid w:val="00CF522D"/>
    <w:rsid w:val="00CF558C"/>
    <w:rsid w:val="00D00AC6"/>
    <w:rsid w:val="00D00B69"/>
    <w:rsid w:val="00D0121D"/>
    <w:rsid w:val="00D01768"/>
    <w:rsid w:val="00D01EB2"/>
    <w:rsid w:val="00D023BF"/>
    <w:rsid w:val="00D03164"/>
    <w:rsid w:val="00D03710"/>
    <w:rsid w:val="00D04855"/>
    <w:rsid w:val="00D05A9A"/>
    <w:rsid w:val="00D06064"/>
    <w:rsid w:val="00D06740"/>
    <w:rsid w:val="00D07B83"/>
    <w:rsid w:val="00D11AEC"/>
    <w:rsid w:val="00D12278"/>
    <w:rsid w:val="00D1296D"/>
    <w:rsid w:val="00D12FC2"/>
    <w:rsid w:val="00D12FD0"/>
    <w:rsid w:val="00D13782"/>
    <w:rsid w:val="00D13B81"/>
    <w:rsid w:val="00D1479A"/>
    <w:rsid w:val="00D14C52"/>
    <w:rsid w:val="00D14DB8"/>
    <w:rsid w:val="00D158B6"/>
    <w:rsid w:val="00D15DD1"/>
    <w:rsid w:val="00D177D1"/>
    <w:rsid w:val="00D20B9C"/>
    <w:rsid w:val="00D21E13"/>
    <w:rsid w:val="00D2262E"/>
    <w:rsid w:val="00D22917"/>
    <w:rsid w:val="00D22E3D"/>
    <w:rsid w:val="00D236CE"/>
    <w:rsid w:val="00D2448D"/>
    <w:rsid w:val="00D24DF0"/>
    <w:rsid w:val="00D2536C"/>
    <w:rsid w:val="00D2561A"/>
    <w:rsid w:val="00D256B3"/>
    <w:rsid w:val="00D268D4"/>
    <w:rsid w:val="00D27709"/>
    <w:rsid w:val="00D27B76"/>
    <w:rsid w:val="00D27BF5"/>
    <w:rsid w:val="00D300ED"/>
    <w:rsid w:val="00D306D4"/>
    <w:rsid w:val="00D31BA1"/>
    <w:rsid w:val="00D31BF1"/>
    <w:rsid w:val="00D31DD3"/>
    <w:rsid w:val="00D3254D"/>
    <w:rsid w:val="00D33094"/>
    <w:rsid w:val="00D331CF"/>
    <w:rsid w:val="00D3364E"/>
    <w:rsid w:val="00D33721"/>
    <w:rsid w:val="00D3592B"/>
    <w:rsid w:val="00D36055"/>
    <w:rsid w:val="00D403AC"/>
    <w:rsid w:val="00D42127"/>
    <w:rsid w:val="00D422B9"/>
    <w:rsid w:val="00D424F1"/>
    <w:rsid w:val="00D42574"/>
    <w:rsid w:val="00D42C2F"/>
    <w:rsid w:val="00D42EFD"/>
    <w:rsid w:val="00D44C28"/>
    <w:rsid w:val="00D451AA"/>
    <w:rsid w:val="00D4556A"/>
    <w:rsid w:val="00D47101"/>
    <w:rsid w:val="00D47241"/>
    <w:rsid w:val="00D5086B"/>
    <w:rsid w:val="00D50F56"/>
    <w:rsid w:val="00D517A6"/>
    <w:rsid w:val="00D52FB1"/>
    <w:rsid w:val="00D535D9"/>
    <w:rsid w:val="00D53B1E"/>
    <w:rsid w:val="00D53DBF"/>
    <w:rsid w:val="00D53E53"/>
    <w:rsid w:val="00D54477"/>
    <w:rsid w:val="00D54A13"/>
    <w:rsid w:val="00D54EA2"/>
    <w:rsid w:val="00D553EA"/>
    <w:rsid w:val="00D554F8"/>
    <w:rsid w:val="00D55724"/>
    <w:rsid w:val="00D558C4"/>
    <w:rsid w:val="00D55A90"/>
    <w:rsid w:val="00D570EB"/>
    <w:rsid w:val="00D5744A"/>
    <w:rsid w:val="00D57457"/>
    <w:rsid w:val="00D57BBB"/>
    <w:rsid w:val="00D60184"/>
    <w:rsid w:val="00D61C5B"/>
    <w:rsid w:val="00D6233D"/>
    <w:rsid w:val="00D62A94"/>
    <w:rsid w:val="00D6300F"/>
    <w:rsid w:val="00D630E7"/>
    <w:rsid w:val="00D63BCF"/>
    <w:rsid w:val="00D6502B"/>
    <w:rsid w:val="00D6573A"/>
    <w:rsid w:val="00D65C31"/>
    <w:rsid w:val="00D67200"/>
    <w:rsid w:val="00D6759F"/>
    <w:rsid w:val="00D70D0B"/>
    <w:rsid w:val="00D70D9C"/>
    <w:rsid w:val="00D710CA"/>
    <w:rsid w:val="00D71C22"/>
    <w:rsid w:val="00D71CD3"/>
    <w:rsid w:val="00D726D5"/>
    <w:rsid w:val="00D728BA"/>
    <w:rsid w:val="00D73588"/>
    <w:rsid w:val="00D738BC"/>
    <w:rsid w:val="00D73F4D"/>
    <w:rsid w:val="00D743AE"/>
    <w:rsid w:val="00D747B5"/>
    <w:rsid w:val="00D748B5"/>
    <w:rsid w:val="00D74ED2"/>
    <w:rsid w:val="00D756C3"/>
    <w:rsid w:val="00D765FC"/>
    <w:rsid w:val="00D76D9D"/>
    <w:rsid w:val="00D77141"/>
    <w:rsid w:val="00D7750D"/>
    <w:rsid w:val="00D80F06"/>
    <w:rsid w:val="00D80FCC"/>
    <w:rsid w:val="00D81E4E"/>
    <w:rsid w:val="00D82285"/>
    <w:rsid w:val="00D82384"/>
    <w:rsid w:val="00D83625"/>
    <w:rsid w:val="00D83730"/>
    <w:rsid w:val="00D84264"/>
    <w:rsid w:val="00D8488F"/>
    <w:rsid w:val="00D84AE3"/>
    <w:rsid w:val="00D856AC"/>
    <w:rsid w:val="00D85A03"/>
    <w:rsid w:val="00D85B39"/>
    <w:rsid w:val="00D86098"/>
    <w:rsid w:val="00D8657C"/>
    <w:rsid w:val="00D866A6"/>
    <w:rsid w:val="00D870B5"/>
    <w:rsid w:val="00D9040B"/>
    <w:rsid w:val="00D912B1"/>
    <w:rsid w:val="00D91B0E"/>
    <w:rsid w:val="00D92C5A"/>
    <w:rsid w:val="00D93D5C"/>
    <w:rsid w:val="00D94F1A"/>
    <w:rsid w:val="00D96BCA"/>
    <w:rsid w:val="00D97B33"/>
    <w:rsid w:val="00D97E47"/>
    <w:rsid w:val="00D97E69"/>
    <w:rsid w:val="00DA17F3"/>
    <w:rsid w:val="00DA1CF8"/>
    <w:rsid w:val="00DA2085"/>
    <w:rsid w:val="00DA20C3"/>
    <w:rsid w:val="00DA2AFC"/>
    <w:rsid w:val="00DA2B77"/>
    <w:rsid w:val="00DA3086"/>
    <w:rsid w:val="00DA3769"/>
    <w:rsid w:val="00DA4DE6"/>
    <w:rsid w:val="00DA5F12"/>
    <w:rsid w:val="00DA6F07"/>
    <w:rsid w:val="00DA73D6"/>
    <w:rsid w:val="00DA7A4E"/>
    <w:rsid w:val="00DA7D7B"/>
    <w:rsid w:val="00DB0553"/>
    <w:rsid w:val="00DB1255"/>
    <w:rsid w:val="00DB1C27"/>
    <w:rsid w:val="00DB2631"/>
    <w:rsid w:val="00DB2B4C"/>
    <w:rsid w:val="00DB3E97"/>
    <w:rsid w:val="00DB4ADF"/>
    <w:rsid w:val="00DB50F2"/>
    <w:rsid w:val="00DB53C2"/>
    <w:rsid w:val="00DC0539"/>
    <w:rsid w:val="00DC0624"/>
    <w:rsid w:val="00DC1012"/>
    <w:rsid w:val="00DC139B"/>
    <w:rsid w:val="00DC190D"/>
    <w:rsid w:val="00DC1A11"/>
    <w:rsid w:val="00DC25C2"/>
    <w:rsid w:val="00DC27A6"/>
    <w:rsid w:val="00DC2BA2"/>
    <w:rsid w:val="00DC2D98"/>
    <w:rsid w:val="00DC3340"/>
    <w:rsid w:val="00DC4B52"/>
    <w:rsid w:val="00DC4BBB"/>
    <w:rsid w:val="00DC523F"/>
    <w:rsid w:val="00DC5CDB"/>
    <w:rsid w:val="00DC60A0"/>
    <w:rsid w:val="00DC6A53"/>
    <w:rsid w:val="00DC7DD3"/>
    <w:rsid w:val="00DD032F"/>
    <w:rsid w:val="00DD059D"/>
    <w:rsid w:val="00DD114D"/>
    <w:rsid w:val="00DD1185"/>
    <w:rsid w:val="00DD12AD"/>
    <w:rsid w:val="00DD175B"/>
    <w:rsid w:val="00DD1D3E"/>
    <w:rsid w:val="00DD33C8"/>
    <w:rsid w:val="00DD4570"/>
    <w:rsid w:val="00DD476D"/>
    <w:rsid w:val="00DD4AD4"/>
    <w:rsid w:val="00DD4E5B"/>
    <w:rsid w:val="00DD5FE9"/>
    <w:rsid w:val="00DD65A3"/>
    <w:rsid w:val="00DD6B3A"/>
    <w:rsid w:val="00DD6E0D"/>
    <w:rsid w:val="00DD70A4"/>
    <w:rsid w:val="00DD7AB8"/>
    <w:rsid w:val="00DE05F6"/>
    <w:rsid w:val="00DE1740"/>
    <w:rsid w:val="00DE30ED"/>
    <w:rsid w:val="00DE3212"/>
    <w:rsid w:val="00DE3819"/>
    <w:rsid w:val="00DE4A81"/>
    <w:rsid w:val="00DE4F7A"/>
    <w:rsid w:val="00DE56C1"/>
    <w:rsid w:val="00DE589E"/>
    <w:rsid w:val="00DE6448"/>
    <w:rsid w:val="00DE75D2"/>
    <w:rsid w:val="00DF076A"/>
    <w:rsid w:val="00DF28DB"/>
    <w:rsid w:val="00DF2AB8"/>
    <w:rsid w:val="00DF2D78"/>
    <w:rsid w:val="00DF3060"/>
    <w:rsid w:val="00DF3099"/>
    <w:rsid w:val="00DF3A1B"/>
    <w:rsid w:val="00DF45E7"/>
    <w:rsid w:val="00DF501B"/>
    <w:rsid w:val="00DF6046"/>
    <w:rsid w:val="00E001EA"/>
    <w:rsid w:val="00E00F45"/>
    <w:rsid w:val="00E015C6"/>
    <w:rsid w:val="00E01B2E"/>
    <w:rsid w:val="00E03326"/>
    <w:rsid w:val="00E04115"/>
    <w:rsid w:val="00E04EC3"/>
    <w:rsid w:val="00E05387"/>
    <w:rsid w:val="00E05D57"/>
    <w:rsid w:val="00E06C7E"/>
    <w:rsid w:val="00E0724F"/>
    <w:rsid w:val="00E07880"/>
    <w:rsid w:val="00E11145"/>
    <w:rsid w:val="00E11784"/>
    <w:rsid w:val="00E117CD"/>
    <w:rsid w:val="00E119BB"/>
    <w:rsid w:val="00E120AF"/>
    <w:rsid w:val="00E12BA9"/>
    <w:rsid w:val="00E13AE6"/>
    <w:rsid w:val="00E1484C"/>
    <w:rsid w:val="00E14938"/>
    <w:rsid w:val="00E15A88"/>
    <w:rsid w:val="00E1622F"/>
    <w:rsid w:val="00E16ACA"/>
    <w:rsid w:val="00E16E3E"/>
    <w:rsid w:val="00E17852"/>
    <w:rsid w:val="00E17B34"/>
    <w:rsid w:val="00E20604"/>
    <w:rsid w:val="00E21F89"/>
    <w:rsid w:val="00E2257B"/>
    <w:rsid w:val="00E22C13"/>
    <w:rsid w:val="00E24033"/>
    <w:rsid w:val="00E258CB"/>
    <w:rsid w:val="00E25AEB"/>
    <w:rsid w:val="00E25FAA"/>
    <w:rsid w:val="00E260E8"/>
    <w:rsid w:val="00E2658B"/>
    <w:rsid w:val="00E278E1"/>
    <w:rsid w:val="00E30003"/>
    <w:rsid w:val="00E3004B"/>
    <w:rsid w:val="00E30379"/>
    <w:rsid w:val="00E30BBA"/>
    <w:rsid w:val="00E31CF6"/>
    <w:rsid w:val="00E31D61"/>
    <w:rsid w:val="00E3215D"/>
    <w:rsid w:val="00E3314C"/>
    <w:rsid w:val="00E33732"/>
    <w:rsid w:val="00E33864"/>
    <w:rsid w:val="00E349AE"/>
    <w:rsid w:val="00E354E7"/>
    <w:rsid w:val="00E35C71"/>
    <w:rsid w:val="00E370BF"/>
    <w:rsid w:val="00E37784"/>
    <w:rsid w:val="00E405B9"/>
    <w:rsid w:val="00E40687"/>
    <w:rsid w:val="00E41972"/>
    <w:rsid w:val="00E427A5"/>
    <w:rsid w:val="00E44797"/>
    <w:rsid w:val="00E44BF0"/>
    <w:rsid w:val="00E45BFB"/>
    <w:rsid w:val="00E47C03"/>
    <w:rsid w:val="00E52D58"/>
    <w:rsid w:val="00E53259"/>
    <w:rsid w:val="00E5411B"/>
    <w:rsid w:val="00E543BC"/>
    <w:rsid w:val="00E543DB"/>
    <w:rsid w:val="00E54CE3"/>
    <w:rsid w:val="00E55BA8"/>
    <w:rsid w:val="00E579B5"/>
    <w:rsid w:val="00E57AC8"/>
    <w:rsid w:val="00E60367"/>
    <w:rsid w:val="00E608BC"/>
    <w:rsid w:val="00E61246"/>
    <w:rsid w:val="00E61460"/>
    <w:rsid w:val="00E61962"/>
    <w:rsid w:val="00E61E25"/>
    <w:rsid w:val="00E620EA"/>
    <w:rsid w:val="00E6217D"/>
    <w:rsid w:val="00E6244F"/>
    <w:rsid w:val="00E624FF"/>
    <w:rsid w:val="00E62AE6"/>
    <w:rsid w:val="00E630F3"/>
    <w:rsid w:val="00E64379"/>
    <w:rsid w:val="00E643FB"/>
    <w:rsid w:val="00E64400"/>
    <w:rsid w:val="00E64865"/>
    <w:rsid w:val="00E651D9"/>
    <w:rsid w:val="00E65431"/>
    <w:rsid w:val="00E65FC5"/>
    <w:rsid w:val="00E661E3"/>
    <w:rsid w:val="00E66B22"/>
    <w:rsid w:val="00E66BED"/>
    <w:rsid w:val="00E66CF6"/>
    <w:rsid w:val="00E67EA3"/>
    <w:rsid w:val="00E70BC6"/>
    <w:rsid w:val="00E721E2"/>
    <w:rsid w:val="00E72858"/>
    <w:rsid w:val="00E72B52"/>
    <w:rsid w:val="00E7331F"/>
    <w:rsid w:val="00E73C83"/>
    <w:rsid w:val="00E73F5E"/>
    <w:rsid w:val="00E73FA8"/>
    <w:rsid w:val="00E749EE"/>
    <w:rsid w:val="00E74A23"/>
    <w:rsid w:val="00E76171"/>
    <w:rsid w:val="00E76703"/>
    <w:rsid w:val="00E7689F"/>
    <w:rsid w:val="00E77937"/>
    <w:rsid w:val="00E80119"/>
    <w:rsid w:val="00E809A4"/>
    <w:rsid w:val="00E80ACE"/>
    <w:rsid w:val="00E81722"/>
    <w:rsid w:val="00E820D7"/>
    <w:rsid w:val="00E825F6"/>
    <w:rsid w:val="00E83549"/>
    <w:rsid w:val="00E83B0C"/>
    <w:rsid w:val="00E83F60"/>
    <w:rsid w:val="00E841A1"/>
    <w:rsid w:val="00E841C5"/>
    <w:rsid w:val="00E845D0"/>
    <w:rsid w:val="00E8480C"/>
    <w:rsid w:val="00E85273"/>
    <w:rsid w:val="00E85555"/>
    <w:rsid w:val="00E859B4"/>
    <w:rsid w:val="00E87F74"/>
    <w:rsid w:val="00E900B8"/>
    <w:rsid w:val="00E90375"/>
    <w:rsid w:val="00E908D6"/>
    <w:rsid w:val="00E918F6"/>
    <w:rsid w:val="00E91CF4"/>
    <w:rsid w:val="00E92454"/>
    <w:rsid w:val="00E9257F"/>
    <w:rsid w:val="00E93850"/>
    <w:rsid w:val="00E93B18"/>
    <w:rsid w:val="00E944F0"/>
    <w:rsid w:val="00E9471A"/>
    <w:rsid w:val="00E9519E"/>
    <w:rsid w:val="00E95ACE"/>
    <w:rsid w:val="00E95FE6"/>
    <w:rsid w:val="00E961EB"/>
    <w:rsid w:val="00E9655D"/>
    <w:rsid w:val="00E96D39"/>
    <w:rsid w:val="00E97724"/>
    <w:rsid w:val="00EA1ECA"/>
    <w:rsid w:val="00EA2146"/>
    <w:rsid w:val="00EA35CE"/>
    <w:rsid w:val="00EA3950"/>
    <w:rsid w:val="00EA39A9"/>
    <w:rsid w:val="00EA3A2E"/>
    <w:rsid w:val="00EA3F7E"/>
    <w:rsid w:val="00EA4090"/>
    <w:rsid w:val="00EA4609"/>
    <w:rsid w:val="00EA48B0"/>
    <w:rsid w:val="00EA4F22"/>
    <w:rsid w:val="00EA5055"/>
    <w:rsid w:val="00EA5D49"/>
    <w:rsid w:val="00EA63CB"/>
    <w:rsid w:val="00EA651C"/>
    <w:rsid w:val="00EA69AC"/>
    <w:rsid w:val="00EA726E"/>
    <w:rsid w:val="00EB28EA"/>
    <w:rsid w:val="00EB296E"/>
    <w:rsid w:val="00EB2E07"/>
    <w:rsid w:val="00EB346F"/>
    <w:rsid w:val="00EB3698"/>
    <w:rsid w:val="00EB37D2"/>
    <w:rsid w:val="00EB3ED5"/>
    <w:rsid w:val="00EB49BC"/>
    <w:rsid w:val="00EB4BB7"/>
    <w:rsid w:val="00EB4D03"/>
    <w:rsid w:val="00EB4F24"/>
    <w:rsid w:val="00EB5441"/>
    <w:rsid w:val="00EB5C3D"/>
    <w:rsid w:val="00EB61E3"/>
    <w:rsid w:val="00EB6432"/>
    <w:rsid w:val="00EB703F"/>
    <w:rsid w:val="00EC119B"/>
    <w:rsid w:val="00EC145C"/>
    <w:rsid w:val="00EC2274"/>
    <w:rsid w:val="00EC2B2B"/>
    <w:rsid w:val="00EC4A36"/>
    <w:rsid w:val="00EC636C"/>
    <w:rsid w:val="00EC6605"/>
    <w:rsid w:val="00ED0420"/>
    <w:rsid w:val="00ED096E"/>
    <w:rsid w:val="00ED0DBE"/>
    <w:rsid w:val="00ED3321"/>
    <w:rsid w:val="00ED3F0D"/>
    <w:rsid w:val="00ED439A"/>
    <w:rsid w:val="00ED5380"/>
    <w:rsid w:val="00ED54FE"/>
    <w:rsid w:val="00ED59B4"/>
    <w:rsid w:val="00ED67C2"/>
    <w:rsid w:val="00ED6B68"/>
    <w:rsid w:val="00ED771D"/>
    <w:rsid w:val="00EE0F66"/>
    <w:rsid w:val="00EE115E"/>
    <w:rsid w:val="00EE1217"/>
    <w:rsid w:val="00EE3308"/>
    <w:rsid w:val="00EE36AC"/>
    <w:rsid w:val="00EE44E2"/>
    <w:rsid w:val="00EE4560"/>
    <w:rsid w:val="00EE5029"/>
    <w:rsid w:val="00EE581F"/>
    <w:rsid w:val="00EE5877"/>
    <w:rsid w:val="00EE76D1"/>
    <w:rsid w:val="00EF05E0"/>
    <w:rsid w:val="00EF09D8"/>
    <w:rsid w:val="00EF0A7F"/>
    <w:rsid w:val="00EF1171"/>
    <w:rsid w:val="00EF15FD"/>
    <w:rsid w:val="00EF21E1"/>
    <w:rsid w:val="00EF2398"/>
    <w:rsid w:val="00EF3B35"/>
    <w:rsid w:val="00EF417C"/>
    <w:rsid w:val="00EF5E2F"/>
    <w:rsid w:val="00EF69C4"/>
    <w:rsid w:val="00F00067"/>
    <w:rsid w:val="00F01470"/>
    <w:rsid w:val="00F01923"/>
    <w:rsid w:val="00F0202B"/>
    <w:rsid w:val="00F02163"/>
    <w:rsid w:val="00F029AE"/>
    <w:rsid w:val="00F030F9"/>
    <w:rsid w:val="00F043D1"/>
    <w:rsid w:val="00F05164"/>
    <w:rsid w:val="00F0635F"/>
    <w:rsid w:val="00F064CC"/>
    <w:rsid w:val="00F068D1"/>
    <w:rsid w:val="00F10EDC"/>
    <w:rsid w:val="00F112F5"/>
    <w:rsid w:val="00F11ADD"/>
    <w:rsid w:val="00F11ED4"/>
    <w:rsid w:val="00F1229C"/>
    <w:rsid w:val="00F12BA2"/>
    <w:rsid w:val="00F13A86"/>
    <w:rsid w:val="00F14407"/>
    <w:rsid w:val="00F14992"/>
    <w:rsid w:val="00F156BE"/>
    <w:rsid w:val="00F16077"/>
    <w:rsid w:val="00F16667"/>
    <w:rsid w:val="00F176BA"/>
    <w:rsid w:val="00F1784F"/>
    <w:rsid w:val="00F17AE7"/>
    <w:rsid w:val="00F20C19"/>
    <w:rsid w:val="00F21499"/>
    <w:rsid w:val="00F2157A"/>
    <w:rsid w:val="00F21E3F"/>
    <w:rsid w:val="00F220CB"/>
    <w:rsid w:val="00F2296F"/>
    <w:rsid w:val="00F22D9C"/>
    <w:rsid w:val="00F22FE6"/>
    <w:rsid w:val="00F2344A"/>
    <w:rsid w:val="00F24030"/>
    <w:rsid w:val="00F24047"/>
    <w:rsid w:val="00F2440B"/>
    <w:rsid w:val="00F25142"/>
    <w:rsid w:val="00F256F1"/>
    <w:rsid w:val="00F256F3"/>
    <w:rsid w:val="00F25D94"/>
    <w:rsid w:val="00F2691A"/>
    <w:rsid w:val="00F300E6"/>
    <w:rsid w:val="00F30803"/>
    <w:rsid w:val="00F33405"/>
    <w:rsid w:val="00F334DF"/>
    <w:rsid w:val="00F339E4"/>
    <w:rsid w:val="00F33BE4"/>
    <w:rsid w:val="00F33E3A"/>
    <w:rsid w:val="00F33F04"/>
    <w:rsid w:val="00F34995"/>
    <w:rsid w:val="00F34DD0"/>
    <w:rsid w:val="00F35F5F"/>
    <w:rsid w:val="00F36687"/>
    <w:rsid w:val="00F3700D"/>
    <w:rsid w:val="00F37A55"/>
    <w:rsid w:val="00F40361"/>
    <w:rsid w:val="00F403FE"/>
    <w:rsid w:val="00F41E03"/>
    <w:rsid w:val="00F42343"/>
    <w:rsid w:val="00F426BC"/>
    <w:rsid w:val="00F429E2"/>
    <w:rsid w:val="00F43469"/>
    <w:rsid w:val="00F435F7"/>
    <w:rsid w:val="00F43899"/>
    <w:rsid w:val="00F443B2"/>
    <w:rsid w:val="00F47C39"/>
    <w:rsid w:val="00F52469"/>
    <w:rsid w:val="00F5259C"/>
    <w:rsid w:val="00F52C25"/>
    <w:rsid w:val="00F53DD6"/>
    <w:rsid w:val="00F542C4"/>
    <w:rsid w:val="00F5535D"/>
    <w:rsid w:val="00F55D16"/>
    <w:rsid w:val="00F5689C"/>
    <w:rsid w:val="00F56C6A"/>
    <w:rsid w:val="00F56EA2"/>
    <w:rsid w:val="00F5705B"/>
    <w:rsid w:val="00F577FB"/>
    <w:rsid w:val="00F57871"/>
    <w:rsid w:val="00F57AA5"/>
    <w:rsid w:val="00F602C8"/>
    <w:rsid w:val="00F60844"/>
    <w:rsid w:val="00F60AB7"/>
    <w:rsid w:val="00F60C54"/>
    <w:rsid w:val="00F612A4"/>
    <w:rsid w:val="00F619B0"/>
    <w:rsid w:val="00F620CE"/>
    <w:rsid w:val="00F62203"/>
    <w:rsid w:val="00F62316"/>
    <w:rsid w:val="00F64168"/>
    <w:rsid w:val="00F644E0"/>
    <w:rsid w:val="00F64519"/>
    <w:rsid w:val="00F64886"/>
    <w:rsid w:val="00F64AFD"/>
    <w:rsid w:val="00F66B37"/>
    <w:rsid w:val="00F66CF2"/>
    <w:rsid w:val="00F70000"/>
    <w:rsid w:val="00F7017A"/>
    <w:rsid w:val="00F711D3"/>
    <w:rsid w:val="00F71733"/>
    <w:rsid w:val="00F72354"/>
    <w:rsid w:val="00F7258D"/>
    <w:rsid w:val="00F72747"/>
    <w:rsid w:val="00F731D9"/>
    <w:rsid w:val="00F73350"/>
    <w:rsid w:val="00F73474"/>
    <w:rsid w:val="00F74562"/>
    <w:rsid w:val="00F74A0E"/>
    <w:rsid w:val="00F757F5"/>
    <w:rsid w:val="00F769D1"/>
    <w:rsid w:val="00F77672"/>
    <w:rsid w:val="00F77BE3"/>
    <w:rsid w:val="00F77C5B"/>
    <w:rsid w:val="00F81006"/>
    <w:rsid w:val="00F81151"/>
    <w:rsid w:val="00F8148F"/>
    <w:rsid w:val="00F8176A"/>
    <w:rsid w:val="00F81AB9"/>
    <w:rsid w:val="00F82770"/>
    <w:rsid w:val="00F83C39"/>
    <w:rsid w:val="00F84149"/>
    <w:rsid w:val="00F84D80"/>
    <w:rsid w:val="00F85397"/>
    <w:rsid w:val="00F86235"/>
    <w:rsid w:val="00F869B6"/>
    <w:rsid w:val="00F8739C"/>
    <w:rsid w:val="00F8789C"/>
    <w:rsid w:val="00F8789E"/>
    <w:rsid w:val="00F87C92"/>
    <w:rsid w:val="00F87C9A"/>
    <w:rsid w:val="00F87DBC"/>
    <w:rsid w:val="00F90686"/>
    <w:rsid w:val="00F91ABE"/>
    <w:rsid w:val="00F91D3F"/>
    <w:rsid w:val="00F92082"/>
    <w:rsid w:val="00F92FA5"/>
    <w:rsid w:val="00F9303B"/>
    <w:rsid w:val="00F93AD6"/>
    <w:rsid w:val="00F94245"/>
    <w:rsid w:val="00F94DD4"/>
    <w:rsid w:val="00F953E4"/>
    <w:rsid w:val="00F95541"/>
    <w:rsid w:val="00F965EA"/>
    <w:rsid w:val="00F968D4"/>
    <w:rsid w:val="00F96A9B"/>
    <w:rsid w:val="00F97229"/>
    <w:rsid w:val="00F97CE9"/>
    <w:rsid w:val="00F97F37"/>
    <w:rsid w:val="00FA05EB"/>
    <w:rsid w:val="00FA07BA"/>
    <w:rsid w:val="00FA0857"/>
    <w:rsid w:val="00FA245A"/>
    <w:rsid w:val="00FA3276"/>
    <w:rsid w:val="00FA42C3"/>
    <w:rsid w:val="00FA42FA"/>
    <w:rsid w:val="00FA451F"/>
    <w:rsid w:val="00FA45F6"/>
    <w:rsid w:val="00FA511C"/>
    <w:rsid w:val="00FA583B"/>
    <w:rsid w:val="00FA61AA"/>
    <w:rsid w:val="00FA6627"/>
    <w:rsid w:val="00FA7551"/>
    <w:rsid w:val="00FA782C"/>
    <w:rsid w:val="00FB0496"/>
    <w:rsid w:val="00FB059B"/>
    <w:rsid w:val="00FB0A46"/>
    <w:rsid w:val="00FB0B22"/>
    <w:rsid w:val="00FB18B4"/>
    <w:rsid w:val="00FB1CE7"/>
    <w:rsid w:val="00FB2BAE"/>
    <w:rsid w:val="00FB2F7B"/>
    <w:rsid w:val="00FB3076"/>
    <w:rsid w:val="00FB39AD"/>
    <w:rsid w:val="00FB4FDD"/>
    <w:rsid w:val="00FB5C9E"/>
    <w:rsid w:val="00FB60A1"/>
    <w:rsid w:val="00FB6159"/>
    <w:rsid w:val="00FB762C"/>
    <w:rsid w:val="00FC0EAB"/>
    <w:rsid w:val="00FC134D"/>
    <w:rsid w:val="00FC18DA"/>
    <w:rsid w:val="00FC3774"/>
    <w:rsid w:val="00FC4B25"/>
    <w:rsid w:val="00FC4D9F"/>
    <w:rsid w:val="00FC54C4"/>
    <w:rsid w:val="00FC5818"/>
    <w:rsid w:val="00FC59EB"/>
    <w:rsid w:val="00FC752D"/>
    <w:rsid w:val="00FC7D86"/>
    <w:rsid w:val="00FD0D82"/>
    <w:rsid w:val="00FD1DC4"/>
    <w:rsid w:val="00FD1DFF"/>
    <w:rsid w:val="00FD343E"/>
    <w:rsid w:val="00FD3D66"/>
    <w:rsid w:val="00FD3F53"/>
    <w:rsid w:val="00FD43F8"/>
    <w:rsid w:val="00FD446E"/>
    <w:rsid w:val="00FD4980"/>
    <w:rsid w:val="00FD4D43"/>
    <w:rsid w:val="00FD6654"/>
    <w:rsid w:val="00FD6B80"/>
    <w:rsid w:val="00FD6CBD"/>
    <w:rsid w:val="00FD6EEA"/>
    <w:rsid w:val="00FD7973"/>
    <w:rsid w:val="00FE4F11"/>
    <w:rsid w:val="00FE539E"/>
    <w:rsid w:val="00FE677E"/>
    <w:rsid w:val="00FE7673"/>
    <w:rsid w:val="00FF068A"/>
    <w:rsid w:val="00FF0BAC"/>
    <w:rsid w:val="00FF3B2A"/>
    <w:rsid w:val="00FF46B3"/>
    <w:rsid w:val="00FF49E7"/>
    <w:rsid w:val="00FF4A6F"/>
    <w:rsid w:val="00FF5229"/>
    <w:rsid w:val="00FF5301"/>
    <w:rsid w:val="00FF54CA"/>
    <w:rsid w:val="00FF5EF9"/>
    <w:rsid w:val="00FF6D96"/>
    <w:rsid w:val="00FF7054"/>
    <w:rsid w:val="0D7848A5"/>
    <w:rsid w:val="2A2F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5B3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3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3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3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3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3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3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3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3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3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0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0849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49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49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2390"/>
    <w:rPr>
      <w:color w:val="80808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47D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32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321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17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6BA"/>
  </w:style>
  <w:style w:type="paragraph" w:styleId="Footer">
    <w:name w:val="footer"/>
    <w:basedOn w:val="Normal"/>
    <w:link w:val="FooterChar"/>
    <w:uiPriority w:val="99"/>
    <w:unhideWhenUsed/>
    <w:rsid w:val="00F17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6BA"/>
  </w:style>
  <w:style w:type="paragraph" w:styleId="ListParagraph">
    <w:name w:val="List Paragraph"/>
    <w:basedOn w:val="Normal"/>
    <w:uiPriority w:val="34"/>
    <w:qFormat/>
    <w:rsid w:val="00DA3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85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854"/>
    <w:rPr>
      <w:rFonts w:ascii="SimSun" w:eastAsia="SimSu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6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E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1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0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文本1"/>
    <w:basedOn w:val="Normal"/>
    <w:link w:val="bodytext"/>
    <w:qFormat/>
    <w:rsid w:val="007371E0"/>
    <w:pPr>
      <w:spacing w:beforeLines="100" w:before="240" w:afterLines="100" w:after="240" w:line="360" w:lineRule="exact"/>
      <w:jc w:val="both"/>
    </w:pPr>
  </w:style>
  <w:style w:type="paragraph" w:customStyle="1" w:styleId="figuretitle">
    <w:name w:val="figure title"/>
    <w:basedOn w:val="Caption"/>
    <w:link w:val="figuretitle0"/>
    <w:rsid w:val="00373D5D"/>
    <w:pPr>
      <w:keepNext/>
      <w:widowControl w:val="0"/>
      <w:spacing w:after="0"/>
      <w:jc w:val="center"/>
    </w:pPr>
    <w:rPr>
      <w:color w:val="auto"/>
      <w:sz w:val="22"/>
      <w:szCs w:val="22"/>
    </w:rPr>
  </w:style>
  <w:style w:type="character" w:customStyle="1" w:styleId="bodytext">
    <w:name w:val="body text 字符"/>
    <w:basedOn w:val="DefaultParagraphFont"/>
    <w:link w:val="1"/>
    <w:rsid w:val="007371E0"/>
  </w:style>
  <w:style w:type="character" w:customStyle="1" w:styleId="figuretitle0">
    <w:name w:val="figure title 字符"/>
    <w:basedOn w:val="DefaultParagraphFont"/>
    <w:link w:val="figuretitle"/>
    <w:rsid w:val="00373D5D"/>
    <w:rPr>
      <w:i/>
      <w:iCs/>
      <w:sz w:val="22"/>
      <w:szCs w:val="22"/>
    </w:rPr>
  </w:style>
  <w:style w:type="paragraph" w:customStyle="1" w:styleId="TableTitle">
    <w:name w:val="Table Title"/>
    <w:basedOn w:val="Caption"/>
    <w:link w:val="TableTitle0"/>
    <w:qFormat/>
    <w:rsid w:val="00373D5D"/>
    <w:pPr>
      <w:keepNext/>
      <w:framePr w:hSpace="181" w:wrap="around" w:hAnchor="text" w:xAlign="center" w:yAlign="top"/>
      <w:spacing w:beforeLines="100" w:before="240" w:afterLines="100" w:after="240" w:line="360" w:lineRule="exact"/>
      <w:suppressOverlap/>
      <w:jc w:val="center"/>
    </w:pPr>
    <w:rPr>
      <w:color w:val="auto"/>
      <w:sz w:val="24"/>
      <w:szCs w:val="24"/>
    </w:rPr>
  </w:style>
  <w:style w:type="paragraph" w:customStyle="1" w:styleId="equations">
    <w:name w:val="equations"/>
    <w:basedOn w:val="Normal"/>
    <w:link w:val="equations0"/>
    <w:qFormat/>
    <w:rsid w:val="009036D8"/>
    <w:pPr>
      <w:spacing w:after="0" w:line="240" w:lineRule="auto"/>
      <w:ind w:left="720"/>
      <w:jc w:val="center"/>
    </w:pPr>
    <w:rPr>
      <w:rFonts w:ascii="Cambria Math" w:hAnsi="Cambria Math"/>
      <w:i/>
    </w:rPr>
  </w:style>
  <w:style w:type="character" w:customStyle="1" w:styleId="CaptionChar">
    <w:name w:val="Caption Char"/>
    <w:basedOn w:val="DefaultParagraphFont"/>
    <w:link w:val="Caption"/>
    <w:uiPriority w:val="35"/>
    <w:rsid w:val="00373D5D"/>
    <w:rPr>
      <w:i/>
      <w:iCs/>
      <w:color w:val="44546A" w:themeColor="text2"/>
      <w:sz w:val="18"/>
      <w:szCs w:val="18"/>
    </w:rPr>
  </w:style>
  <w:style w:type="character" w:customStyle="1" w:styleId="TableTitle0">
    <w:name w:val="Table Title 字符"/>
    <w:basedOn w:val="CaptionChar"/>
    <w:link w:val="TableTitle"/>
    <w:rsid w:val="00373D5D"/>
    <w:rPr>
      <w:i/>
      <w:iCs/>
      <w:color w:val="44546A" w:themeColor="text2"/>
      <w:sz w:val="18"/>
      <w:szCs w:val="18"/>
    </w:rPr>
  </w:style>
  <w:style w:type="character" w:customStyle="1" w:styleId="equations0">
    <w:name w:val="equations 字符"/>
    <w:basedOn w:val="DefaultParagraphFont"/>
    <w:link w:val="equations"/>
    <w:rsid w:val="009036D8"/>
    <w:rPr>
      <w:rFonts w:ascii="Cambria Math" w:hAnsi="Cambria Math"/>
      <w:i/>
    </w:rPr>
  </w:style>
  <w:style w:type="paragraph" w:customStyle="1" w:styleId="figureformat">
    <w:name w:val="figure format"/>
    <w:basedOn w:val="Normal"/>
    <w:link w:val="figureformat0"/>
    <w:qFormat/>
    <w:rsid w:val="00083F0C"/>
    <w:pPr>
      <w:framePr w:hSpace="181" w:wrap="around" w:hAnchor="text" w:xAlign="center" w:yAlign="top"/>
      <w:spacing w:after="0" w:line="240" w:lineRule="auto"/>
      <w:suppressOverlap/>
      <w:jc w:val="center"/>
    </w:pPr>
    <w:rPr>
      <w:noProof/>
    </w:rPr>
  </w:style>
  <w:style w:type="paragraph" w:customStyle="1" w:styleId="bodyformat">
    <w:name w:val="body format"/>
    <w:basedOn w:val="Normal"/>
    <w:link w:val="bodyformat0"/>
    <w:qFormat/>
    <w:rsid w:val="0089699C"/>
    <w:pPr>
      <w:spacing w:beforeLines="100" w:before="240" w:afterLines="100" w:after="240" w:line="360" w:lineRule="exact"/>
      <w:jc w:val="both"/>
    </w:pPr>
  </w:style>
  <w:style w:type="character" w:customStyle="1" w:styleId="figureformat0">
    <w:name w:val="figure format 字符"/>
    <w:basedOn w:val="DefaultParagraphFont"/>
    <w:link w:val="figureformat"/>
    <w:rsid w:val="00083F0C"/>
    <w:rPr>
      <w:noProof/>
    </w:rPr>
  </w:style>
  <w:style w:type="character" w:customStyle="1" w:styleId="bodyformat0">
    <w:name w:val="body format 字符"/>
    <w:basedOn w:val="DefaultParagraphFont"/>
    <w:link w:val="bodyformat"/>
    <w:rsid w:val="0089699C"/>
  </w:style>
  <w:style w:type="paragraph" w:customStyle="1" w:styleId="footnote">
    <w:name w:val="footnote"/>
    <w:basedOn w:val="FootnoteText"/>
    <w:link w:val="footnote0"/>
    <w:qFormat/>
    <w:rsid w:val="0002323B"/>
  </w:style>
  <w:style w:type="character" w:customStyle="1" w:styleId="footnote0">
    <w:name w:val="footnote 字符"/>
    <w:basedOn w:val="FootnoteTextChar"/>
    <w:link w:val="footnote"/>
    <w:rsid w:val="0002323B"/>
    <w:rPr>
      <w:sz w:val="20"/>
      <w:szCs w:val="20"/>
    </w:rPr>
  </w:style>
  <w:style w:type="paragraph" w:customStyle="1" w:styleId="figure">
    <w:name w:val="figure标题"/>
    <w:basedOn w:val="Caption"/>
    <w:link w:val="figure0"/>
    <w:qFormat/>
    <w:rsid w:val="00FB2BAE"/>
    <w:pPr>
      <w:keepNext/>
      <w:spacing w:beforeLines="100" w:before="240" w:afterLines="100" w:after="240" w:line="360" w:lineRule="exact"/>
      <w:jc w:val="center"/>
    </w:pPr>
  </w:style>
  <w:style w:type="character" w:customStyle="1" w:styleId="figure0">
    <w:name w:val="figure标题 字符"/>
    <w:basedOn w:val="CaptionChar"/>
    <w:link w:val="figure"/>
    <w:rsid w:val="00FB2BAE"/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88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620C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03A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03A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03A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03A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03A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03A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03A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03A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03A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10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10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10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10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10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103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103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103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10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0849A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49A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849A0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52390"/>
    <w:rPr>
      <w:color w:val="80808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047D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321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8321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F17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6BA"/>
  </w:style>
  <w:style w:type="paragraph" w:styleId="Footer">
    <w:name w:val="footer"/>
    <w:basedOn w:val="Normal"/>
    <w:link w:val="FooterChar"/>
    <w:uiPriority w:val="99"/>
    <w:unhideWhenUsed/>
    <w:rsid w:val="00F176B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6BA"/>
  </w:style>
  <w:style w:type="paragraph" w:styleId="ListParagraph">
    <w:name w:val="List Paragraph"/>
    <w:basedOn w:val="Normal"/>
    <w:uiPriority w:val="34"/>
    <w:qFormat/>
    <w:rsid w:val="00DA308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0854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854"/>
    <w:rPr>
      <w:rFonts w:ascii="SimSun" w:eastAsia="SimSu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86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86E1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6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6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6E1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1607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正文文本1"/>
    <w:basedOn w:val="Normal"/>
    <w:link w:val="bodytext"/>
    <w:qFormat/>
    <w:rsid w:val="007371E0"/>
    <w:pPr>
      <w:spacing w:beforeLines="100" w:before="240" w:afterLines="100" w:after="240" w:line="360" w:lineRule="exact"/>
      <w:jc w:val="both"/>
    </w:pPr>
  </w:style>
  <w:style w:type="paragraph" w:customStyle="1" w:styleId="figuretitle">
    <w:name w:val="figure title"/>
    <w:basedOn w:val="Caption"/>
    <w:link w:val="figuretitle0"/>
    <w:rsid w:val="00373D5D"/>
    <w:pPr>
      <w:keepNext/>
      <w:widowControl w:val="0"/>
      <w:spacing w:after="0"/>
      <w:jc w:val="center"/>
    </w:pPr>
    <w:rPr>
      <w:color w:val="auto"/>
      <w:sz w:val="22"/>
      <w:szCs w:val="22"/>
    </w:rPr>
  </w:style>
  <w:style w:type="character" w:customStyle="1" w:styleId="bodytext">
    <w:name w:val="body text 字符"/>
    <w:basedOn w:val="DefaultParagraphFont"/>
    <w:link w:val="1"/>
    <w:rsid w:val="007371E0"/>
  </w:style>
  <w:style w:type="character" w:customStyle="1" w:styleId="figuretitle0">
    <w:name w:val="figure title 字符"/>
    <w:basedOn w:val="DefaultParagraphFont"/>
    <w:link w:val="figuretitle"/>
    <w:rsid w:val="00373D5D"/>
    <w:rPr>
      <w:i/>
      <w:iCs/>
      <w:sz w:val="22"/>
      <w:szCs w:val="22"/>
    </w:rPr>
  </w:style>
  <w:style w:type="paragraph" w:customStyle="1" w:styleId="TableTitle">
    <w:name w:val="Table Title"/>
    <w:basedOn w:val="Caption"/>
    <w:link w:val="TableTitle0"/>
    <w:qFormat/>
    <w:rsid w:val="00373D5D"/>
    <w:pPr>
      <w:keepNext/>
      <w:framePr w:hSpace="181" w:wrap="around" w:hAnchor="text" w:xAlign="center" w:yAlign="top"/>
      <w:spacing w:beforeLines="100" w:before="240" w:afterLines="100" w:after="240" w:line="360" w:lineRule="exact"/>
      <w:suppressOverlap/>
      <w:jc w:val="center"/>
    </w:pPr>
    <w:rPr>
      <w:color w:val="auto"/>
      <w:sz w:val="24"/>
      <w:szCs w:val="24"/>
    </w:rPr>
  </w:style>
  <w:style w:type="paragraph" w:customStyle="1" w:styleId="equations">
    <w:name w:val="equations"/>
    <w:basedOn w:val="Normal"/>
    <w:link w:val="equations0"/>
    <w:qFormat/>
    <w:rsid w:val="009036D8"/>
    <w:pPr>
      <w:spacing w:after="0" w:line="240" w:lineRule="auto"/>
      <w:ind w:left="720"/>
      <w:jc w:val="center"/>
    </w:pPr>
    <w:rPr>
      <w:rFonts w:ascii="Cambria Math" w:hAnsi="Cambria Math"/>
      <w:i/>
    </w:rPr>
  </w:style>
  <w:style w:type="character" w:customStyle="1" w:styleId="CaptionChar">
    <w:name w:val="Caption Char"/>
    <w:basedOn w:val="DefaultParagraphFont"/>
    <w:link w:val="Caption"/>
    <w:uiPriority w:val="35"/>
    <w:rsid w:val="00373D5D"/>
    <w:rPr>
      <w:i/>
      <w:iCs/>
      <w:color w:val="44546A" w:themeColor="text2"/>
      <w:sz w:val="18"/>
      <w:szCs w:val="18"/>
    </w:rPr>
  </w:style>
  <w:style w:type="character" w:customStyle="1" w:styleId="TableTitle0">
    <w:name w:val="Table Title 字符"/>
    <w:basedOn w:val="CaptionChar"/>
    <w:link w:val="TableTitle"/>
    <w:rsid w:val="00373D5D"/>
    <w:rPr>
      <w:i/>
      <w:iCs/>
      <w:color w:val="44546A" w:themeColor="text2"/>
      <w:sz w:val="18"/>
      <w:szCs w:val="18"/>
    </w:rPr>
  </w:style>
  <w:style w:type="character" w:customStyle="1" w:styleId="equations0">
    <w:name w:val="equations 字符"/>
    <w:basedOn w:val="DefaultParagraphFont"/>
    <w:link w:val="equations"/>
    <w:rsid w:val="009036D8"/>
    <w:rPr>
      <w:rFonts w:ascii="Cambria Math" w:hAnsi="Cambria Math"/>
      <w:i/>
    </w:rPr>
  </w:style>
  <w:style w:type="paragraph" w:customStyle="1" w:styleId="figureformat">
    <w:name w:val="figure format"/>
    <w:basedOn w:val="Normal"/>
    <w:link w:val="figureformat0"/>
    <w:qFormat/>
    <w:rsid w:val="00083F0C"/>
    <w:pPr>
      <w:framePr w:hSpace="181" w:wrap="around" w:hAnchor="text" w:xAlign="center" w:yAlign="top"/>
      <w:spacing w:after="0" w:line="240" w:lineRule="auto"/>
      <w:suppressOverlap/>
      <w:jc w:val="center"/>
    </w:pPr>
    <w:rPr>
      <w:noProof/>
    </w:rPr>
  </w:style>
  <w:style w:type="paragraph" w:customStyle="1" w:styleId="bodyformat">
    <w:name w:val="body format"/>
    <w:basedOn w:val="Normal"/>
    <w:link w:val="bodyformat0"/>
    <w:qFormat/>
    <w:rsid w:val="0089699C"/>
    <w:pPr>
      <w:spacing w:beforeLines="100" w:before="240" w:afterLines="100" w:after="240" w:line="360" w:lineRule="exact"/>
      <w:jc w:val="both"/>
    </w:pPr>
  </w:style>
  <w:style w:type="character" w:customStyle="1" w:styleId="figureformat0">
    <w:name w:val="figure format 字符"/>
    <w:basedOn w:val="DefaultParagraphFont"/>
    <w:link w:val="figureformat"/>
    <w:rsid w:val="00083F0C"/>
    <w:rPr>
      <w:noProof/>
    </w:rPr>
  </w:style>
  <w:style w:type="character" w:customStyle="1" w:styleId="bodyformat0">
    <w:name w:val="body format 字符"/>
    <w:basedOn w:val="DefaultParagraphFont"/>
    <w:link w:val="bodyformat"/>
    <w:rsid w:val="0089699C"/>
  </w:style>
  <w:style w:type="paragraph" w:customStyle="1" w:styleId="footnote">
    <w:name w:val="footnote"/>
    <w:basedOn w:val="FootnoteText"/>
    <w:link w:val="footnote0"/>
    <w:qFormat/>
    <w:rsid w:val="0002323B"/>
  </w:style>
  <w:style w:type="character" w:customStyle="1" w:styleId="footnote0">
    <w:name w:val="footnote 字符"/>
    <w:basedOn w:val="FootnoteTextChar"/>
    <w:link w:val="footnote"/>
    <w:rsid w:val="0002323B"/>
    <w:rPr>
      <w:sz w:val="20"/>
      <w:szCs w:val="20"/>
    </w:rPr>
  </w:style>
  <w:style w:type="paragraph" w:customStyle="1" w:styleId="figure">
    <w:name w:val="figure标题"/>
    <w:basedOn w:val="Caption"/>
    <w:link w:val="figure0"/>
    <w:qFormat/>
    <w:rsid w:val="00FB2BAE"/>
    <w:pPr>
      <w:keepNext/>
      <w:spacing w:beforeLines="100" w:before="240" w:afterLines="100" w:after="240" w:line="360" w:lineRule="exact"/>
      <w:jc w:val="center"/>
    </w:pPr>
  </w:style>
  <w:style w:type="character" w:customStyle="1" w:styleId="figure0">
    <w:name w:val="figure标题 字符"/>
    <w:basedOn w:val="CaptionChar"/>
    <w:link w:val="figure"/>
    <w:rsid w:val="00FB2BAE"/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C488F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8620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5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://econ.worldbank.org" TargetMode="External"/><Relationship Id="rId18" Type="http://schemas.openxmlformats.org/officeDocument/2006/relationships/hyperlink" Target="https://www.gov.uk/government/publications/rates-and-allowances-income-tax/income-tax-rates-and-allowances-current-and-past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34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hyperlink" Target="https://data.worldbank.org/indicator/NY.GDP.PCAP.KD?view=chart" TargetMode="External"/><Relationship Id="rId17" Type="http://schemas.openxmlformats.org/officeDocument/2006/relationships/hyperlink" Target="https://www.mof.go.jp/english/tax_policy/tax_system/income/index.html" TargetMode="Externa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ecd-ilibrary.org/taxation/taxing-wages-2017_tax_wages-2017-en" TargetMode="External"/><Relationship Id="rId20" Type="http://schemas.openxmlformats.org/officeDocument/2006/relationships/hyperlink" Target="http://data.stats.gov.cn/easyquery.htm?cn=C01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32" Type="http://schemas.openxmlformats.org/officeDocument/2006/relationships/image" Target="media/image11.gif"/><Relationship Id="rId5" Type="http://schemas.openxmlformats.org/officeDocument/2006/relationships/numbering" Target="numbering.xml"/><Relationship Id="rId15" Type="http://schemas.openxmlformats.org/officeDocument/2006/relationships/hyperlink" Target="http://szs.mof.gov.cn/shuizhijianjie/200806/t20080630_54460.htm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data.oecd.org/hha/household-disposable-income.htm" TargetMode="External"/><Relationship Id="rId31" Type="http://schemas.openxmlformats.org/officeDocument/2006/relationships/image" Target="media/image10.gif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canada.ca/en/revenue-agency/news/newsroom/fact-sheets/fact-sheets-2015/2016-indexation-adjustment-personal-income-tax-benefit-amounts.html" TargetMode="External"/><Relationship Id="rId30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5F415C9D8814FBFD6C6CF426A5677" ma:contentTypeVersion="13" ma:contentTypeDescription="Create a new document." ma:contentTypeScope="" ma:versionID="5153b861b44209a2e8c40e0c085e600a">
  <xsd:schema xmlns:xsd="http://www.w3.org/2001/XMLSchema" xmlns:xs="http://www.w3.org/2001/XMLSchema" xmlns:p="http://schemas.microsoft.com/office/2006/metadata/properties" xmlns:ns3="4a133397-0785-4830-af87-76ce322ddc5f" xmlns:ns4="3942fc58-04f6-45b2-9ade-9f5e1804637e" targetNamespace="http://schemas.microsoft.com/office/2006/metadata/properties" ma:root="true" ma:fieldsID="e17994a55088c3ec01e151fe49e453ca" ns3:_="" ns4:_="">
    <xsd:import namespace="4a133397-0785-4830-af87-76ce322ddc5f"/>
    <xsd:import namespace="3942fc58-04f6-45b2-9ade-9f5e180463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3397-0785-4830-af87-76ce322dd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2fc58-04f6-45b2-9ade-9f5e180463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1D73-D9F1-4CEB-A613-D504B72525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768D10-4974-4186-B9F4-F4C3FCC412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33397-0785-4830-af87-76ce322ddc5f"/>
    <ds:schemaRef ds:uri="3942fc58-04f6-45b2-9ade-9f5e18046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26BD1B-85B0-434E-A22A-E48C821EFAA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2B3695-FEC4-40AD-BA09-44A299247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1393</Words>
  <Characters>7943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Zhou</dc:creator>
  <cp:keywords/>
  <dc:description/>
  <cp:lastModifiedBy>Prem Chand sharma</cp:lastModifiedBy>
  <cp:revision>13</cp:revision>
  <cp:lastPrinted>2021-12-24T14:31:00Z</cp:lastPrinted>
  <dcterms:created xsi:type="dcterms:W3CDTF">2021-09-29T10:01:00Z</dcterms:created>
  <dcterms:modified xsi:type="dcterms:W3CDTF">2022-02-14T08:18:00Z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0x010100E565F415C9D8814FBFD6C6CF426A5677</vt:lpwstr>
  </property>
</Properties>
</file>