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433E3">
      <w:pPr>
        <w:spacing w:after="360" w:line="240" w:lineRule="auto"/>
        <w:rPr>
          <w:rFonts w:ascii="Times New Roman" w:hAnsi="Times New Roman" w:eastAsia="Times New Roman" w:cs="Times New Roman"/>
          <w:b/>
          <w:color w:val="2D3748"/>
          <w:sz w:val="40"/>
          <w:szCs w:val="40"/>
          <w:lang w:eastAsia="en-GB"/>
        </w:rPr>
      </w:pPr>
      <w:r>
        <w:rPr>
          <w:rFonts w:ascii="Times New Roman" w:hAnsi="Times New Roman" w:eastAsia="Times New Roman" w:cs="Times New Roman"/>
          <w:b/>
          <w:color w:val="2D3748"/>
          <w:sz w:val="40"/>
          <w:szCs w:val="40"/>
          <w:lang w:eastAsia="en-GB"/>
        </w:rPr>
        <w:t>Understanding Corporate Governance in Nigeria: A Simple Guide for Business Owners</w:t>
      </w:r>
    </w:p>
    <w:p w14:paraId="264AB5E1">
      <w:pPr>
        <w:spacing w:after="360" w:line="240" w:lineRule="auto"/>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Corporate governance has become increasingly important in Nigeria's evolving business landscape. Whether you're running a small enterprise or managing a large corporation, understanding the principles of corporate governance is essential for sustainable business success.</w:t>
      </w:r>
    </w:p>
    <w:p w14:paraId="5840748D">
      <w:pPr>
        <w:spacing w:before="720" w:after="360" w:line="240" w:lineRule="auto"/>
        <w:outlineLvl w:val="1"/>
        <w:rPr>
          <w:rFonts w:ascii="Times New Roman" w:hAnsi="Times New Roman" w:eastAsia="Times New Roman" w:cs="Times New Roman"/>
          <w:b/>
          <w:bCs/>
          <w:color w:val="1A2A4A"/>
          <w:sz w:val="28"/>
          <w:szCs w:val="28"/>
          <w:lang w:eastAsia="en-GB"/>
        </w:rPr>
      </w:pPr>
      <w:r>
        <w:rPr>
          <w:rFonts w:ascii="Times New Roman" w:hAnsi="Times New Roman" w:eastAsia="Times New Roman" w:cs="Times New Roman"/>
          <w:b/>
          <w:bCs/>
          <w:color w:val="1A2A4A"/>
          <w:sz w:val="28"/>
          <w:szCs w:val="28"/>
          <w:lang w:eastAsia="en-GB"/>
        </w:rPr>
        <w:t>What is Corporate Governance?</w:t>
      </w:r>
    </w:p>
    <w:p w14:paraId="6810B972">
      <w:pPr>
        <w:spacing w:before="720" w:after="360" w:line="240" w:lineRule="auto"/>
        <w:outlineLvl w:val="1"/>
        <w:rPr>
          <w:rFonts w:ascii="Times New Roman" w:hAnsi="Times New Roman" w:cs="Times New Roman"/>
          <w:color w:val="FF0000"/>
          <w:sz w:val="28"/>
          <w:szCs w:val="28"/>
        </w:rPr>
      </w:pPr>
      <w:r>
        <w:rPr>
          <w:rFonts w:ascii="Times New Roman" w:hAnsi="Times New Roman" w:eastAsia="Times New Roman" w:cs="Times New Roman"/>
          <w:b/>
          <w:bCs/>
          <w:color w:val="FF0000"/>
          <w:sz w:val="28"/>
          <w:szCs w:val="28"/>
          <w:lang w:eastAsia="en-GB"/>
        </w:rPr>
        <w:t xml:space="preserve">Titilade Adelekun Ilesanmi </w:t>
      </w:r>
      <w:r>
        <w:rPr>
          <w:rFonts w:ascii="Times New Roman" w:hAnsi="Times New Roman" w:cs="Times New Roman"/>
          <w:color w:val="FF0000"/>
          <w:sz w:val="28"/>
          <w:szCs w:val="28"/>
        </w:rPr>
        <w:t xml:space="preserve">defines Corporate Governance (CG) as </w:t>
      </w:r>
      <w:r>
        <w:rPr>
          <w:rFonts w:ascii="Times New Roman" w:hAnsi="Times New Roman" w:cs="Times New Roman"/>
          <w:color w:val="FF0000"/>
          <w:sz w:val="28"/>
          <w:szCs w:val="28"/>
          <w:u w:val="single"/>
        </w:rPr>
        <w:t>how a company is directed and managed in achieving its objectives subject to relevant rules and regulations.</w:t>
      </w:r>
      <w:r>
        <w:rPr>
          <w:rFonts w:ascii="Times New Roman" w:hAnsi="Times New Roman" w:cs="Times New Roman"/>
          <w:color w:val="FF0000"/>
          <w:sz w:val="28"/>
          <w:szCs w:val="28"/>
        </w:rPr>
        <w:t xml:space="preserve"> </w:t>
      </w:r>
    </w:p>
    <w:p w14:paraId="240823F4">
      <w:pPr>
        <w:spacing w:before="720" w:after="360" w:line="240" w:lineRule="auto"/>
        <w:outlineLvl w:val="1"/>
        <w:rPr>
          <w:rFonts w:ascii="Times New Roman" w:hAnsi="Times New Roman" w:cs="Times New Roman"/>
          <w:color w:val="FF0000"/>
          <w:sz w:val="28"/>
          <w:szCs w:val="28"/>
        </w:rPr>
      </w:pPr>
      <w:r>
        <w:rPr>
          <w:rFonts w:ascii="Times New Roman" w:hAnsi="Times New Roman" w:cs="Times New Roman"/>
          <w:color w:val="FF0000"/>
          <w:sz w:val="28"/>
          <w:szCs w:val="28"/>
        </w:rPr>
        <w:t xml:space="preserve">(SOURCE -- </w:t>
      </w:r>
      <w:r>
        <w:fldChar w:fldCharType="begin"/>
      </w:r>
      <w:r>
        <w:instrText xml:space="preserve"> HYPERLINK "https://lelawlegal.com/add111pdfs/Corporate-Governance-by-Titi.pdf#:~:text=Corporate%20Governance%20(CG)%20is%20how,to%20relevant%20rules%20and%20regulations.)" </w:instrText>
      </w:r>
      <w:r>
        <w:fldChar w:fldCharType="separate"/>
      </w:r>
      <w:r>
        <w:rPr>
          <w:rStyle w:val="11"/>
          <w:rFonts w:ascii="Times New Roman" w:hAnsi="Times New Roman" w:cs="Times New Roman"/>
          <w:color w:val="FF0000"/>
          <w:sz w:val="28"/>
          <w:szCs w:val="28"/>
        </w:rPr>
        <w:t>https://lelawlegal.com/add111pdfs/Corporate-Governance-by-Titi.pdf#:~:text=Corporate%20Governance%20(CG)%20is%20how,to%20relevant%20rules%20and%20regulations.)</w:t>
      </w:r>
      <w:r>
        <w:rPr>
          <w:rStyle w:val="11"/>
          <w:rFonts w:ascii="Times New Roman" w:hAnsi="Times New Roman" w:cs="Times New Roman"/>
          <w:color w:val="FF0000"/>
          <w:sz w:val="28"/>
          <w:szCs w:val="28"/>
        </w:rPr>
        <w:fldChar w:fldCharType="end"/>
      </w:r>
    </w:p>
    <w:p w14:paraId="5087B6F2">
      <w:pPr>
        <w:spacing w:before="720" w:after="360" w:line="240" w:lineRule="auto"/>
        <w:outlineLvl w:val="1"/>
        <w:rPr>
          <w:rFonts w:ascii="Times New Roman" w:hAnsi="Times New Roman" w:cs="Times New Roman"/>
          <w:color w:val="FF0000"/>
          <w:sz w:val="28"/>
          <w:szCs w:val="28"/>
        </w:rPr>
      </w:pPr>
      <w:r>
        <w:rPr>
          <w:rFonts w:ascii="Times New Roman" w:hAnsi="Times New Roman" w:cs="Times New Roman"/>
          <w:color w:val="FF0000"/>
          <w:sz w:val="28"/>
          <w:szCs w:val="28"/>
        </w:rPr>
        <w:t>(PLEASE HYPERLINK THE UNDERLINED DEFINITION AS IN-TEXT CITATION).</w:t>
      </w:r>
      <w:r>
        <w:rPr>
          <w:rFonts w:ascii="Times New Roman" w:hAnsi="Times New Roman" w:eastAsia="Times New Roman" w:cs="Times New Roman"/>
          <w:color w:val="2D3748"/>
          <w:sz w:val="28"/>
          <w:szCs w:val="28"/>
          <w:lang w:eastAsia="en-GB"/>
        </w:rPr>
        <w:t>.</w:t>
      </w:r>
    </w:p>
    <w:p w14:paraId="43BB2B9C">
      <w:pPr>
        <w:spacing w:before="720" w:after="360" w:line="240" w:lineRule="auto"/>
        <w:outlineLvl w:val="1"/>
        <w:rPr>
          <w:rFonts w:ascii="Times New Roman" w:hAnsi="Times New Roman" w:eastAsia="Times New Roman" w:cs="Times New Roman"/>
          <w:b/>
          <w:bCs/>
          <w:color w:val="1A2A4A"/>
          <w:sz w:val="28"/>
          <w:szCs w:val="28"/>
          <w:lang w:eastAsia="en-GB"/>
        </w:rPr>
      </w:pPr>
      <w:r>
        <w:rPr>
          <w:rFonts w:ascii="Times New Roman" w:hAnsi="Times New Roman" w:eastAsia="Times New Roman" w:cs="Times New Roman"/>
          <w:b/>
          <w:bCs/>
          <w:color w:val="1A2A4A"/>
          <w:sz w:val="28"/>
          <w:szCs w:val="28"/>
          <w:lang w:eastAsia="en-GB"/>
        </w:rPr>
        <w:t>Key Components of Corporate Governance in Nigeria</w:t>
      </w:r>
    </w:p>
    <w:p w14:paraId="1CF26ADF">
      <w:pPr>
        <w:spacing w:before="480" w:after="240" w:line="240" w:lineRule="auto"/>
        <w:outlineLvl w:val="2"/>
        <w:rPr>
          <w:rFonts w:ascii="Times New Roman" w:hAnsi="Times New Roman" w:eastAsia="Times New Roman" w:cs="Times New Roman"/>
          <w:b/>
          <w:bCs/>
          <w:color w:val="1A2A4A"/>
          <w:sz w:val="28"/>
          <w:szCs w:val="28"/>
          <w:lang w:eastAsia="en-GB"/>
        </w:rPr>
      </w:pPr>
      <w:r>
        <w:rPr>
          <w:rFonts w:ascii="Times New Roman" w:hAnsi="Times New Roman" w:eastAsia="Times New Roman" w:cs="Times New Roman"/>
          <w:b/>
          <w:bCs/>
          <w:color w:val="1A2A4A"/>
          <w:sz w:val="28"/>
          <w:szCs w:val="28"/>
          <w:lang w:eastAsia="en-GB"/>
        </w:rPr>
        <w:t>1. Board of Directors</w:t>
      </w:r>
    </w:p>
    <w:p w14:paraId="68180622">
      <w:pPr>
        <w:spacing w:after="360" w:line="240" w:lineRule="auto"/>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The board of directors plays a crucial role in corporate governance. In Nigeria, the Companies and Allied Matters Act (CAMA) 2020 provides guidelines for board composition and responsibilities:</w:t>
      </w:r>
    </w:p>
    <w:p w14:paraId="42F173A0">
      <w:pPr>
        <w:numPr>
          <w:ilvl w:val="0"/>
          <w:numId w:val="1"/>
        </w:numPr>
        <w:spacing w:after="120" w:line="240" w:lineRule="auto"/>
        <w:ind w:left="0"/>
        <w:rPr>
          <w:rFonts w:ascii="Times New Roman" w:hAnsi="Times New Roman" w:eastAsia="Times New Roman" w:cs="Times New Roman"/>
          <w:color w:val="FF0000"/>
          <w:sz w:val="28"/>
          <w:szCs w:val="28"/>
          <w:lang w:eastAsia="en-GB"/>
        </w:rPr>
      </w:pPr>
      <w:r>
        <w:rPr>
          <w:rFonts w:ascii="Times New Roman" w:hAnsi="Times New Roman" w:eastAsia="Times New Roman" w:cs="Times New Roman"/>
          <w:color w:val="2D3748"/>
          <w:sz w:val="28"/>
          <w:szCs w:val="28"/>
          <w:lang w:eastAsia="en-GB"/>
        </w:rPr>
        <w:t xml:space="preserve">Companies must have a minimum number of directors based on their type. – </w:t>
      </w:r>
      <w:r>
        <w:rPr>
          <w:rFonts w:ascii="Times New Roman" w:hAnsi="Times New Roman" w:eastAsia="Times New Roman" w:cs="Times New Roman"/>
          <w:color w:val="FF0000"/>
          <w:sz w:val="28"/>
          <w:szCs w:val="28"/>
          <w:lang w:eastAsia="en-GB"/>
        </w:rPr>
        <w:t>For example, a small company is allowed to have just one director – S.271(1) CAMA. Whereas, the minimum requirement for a public company is two.</w:t>
      </w:r>
      <w:bookmarkStart w:id="0" w:name="_GoBack"/>
      <w:bookmarkEnd w:id="0"/>
    </w:p>
    <w:p w14:paraId="47934069">
      <w:pPr>
        <w:numPr>
          <w:ilvl w:val="0"/>
          <w:numId w:val="1"/>
        </w:numPr>
        <w:spacing w:after="120" w:line="240" w:lineRule="auto"/>
        <w:ind w:left="0"/>
        <w:rPr>
          <w:rFonts w:ascii="Times New Roman" w:hAnsi="Times New Roman" w:eastAsia="Times New Roman" w:cs="Times New Roman"/>
          <w:color w:val="FF0000"/>
          <w:sz w:val="28"/>
          <w:szCs w:val="28"/>
          <w:lang w:eastAsia="en-GB"/>
        </w:rPr>
      </w:pPr>
      <w:r>
        <w:rPr>
          <w:rFonts w:ascii="Times New Roman" w:hAnsi="Times New Roman" w:eastAsia="Times New Roman" w:cs="Times New Roman"/>
          <w:color w:val="2D3748"/>
          <w:sz w:val="28"/>
          <w:szCs w:val="28"/>
          <w:lang w:eastAsia="en-GB"/>
        </w:rPr>
        <w:t xml:space="preserve">Directors owe fiduciary duties to the company – </w:t>
      </w:r>
      <w:r>
        <w:rPr>
          <w:rFonts w:ascii="Times New Roman" w:hAnsi="Times New Roman" w:eastAsia="Times New Roman" w:cs="Times New Roman"/>
          <w:color w:val="FF0000"/>
          <w:sz w:val="28"/>
          <w:szCs w:val="28"/>
          <w:lang w:eastAsia="en-GB"/>
        </w:rPr>
        <w:t>This is a clear requirement under S.305 CAMA (2020).</w:t>
      </w:r>
    </w:p>
    <w:p w14:paraId="2D599BD6">
      <w:pPr>
        <w:numPr>
          <w:ilvl w:val="0"/>
          <w:numId w:val="1"/>
        </w:numPr>
        <w:spacing w:after="120" w:line="240" w:lineRule="auto"/>
        <w:ind w:left="0"/>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The board is responsible for strategic direction and oversight –</w:t>
      </w:r>
    </w:p>
    <w:p w14:paraId="25D095CC">
      <w:pPr>
        <w:spacing w:before="100" w:beforeAutospacing="1" w:after="100" w:afterAutospacing="1" w:line="240" w:lineRule="auto"/>
        <w:outlineLvl w:val="2"/>
        <w:rPr>
          <w:rFonts w:ascii="Times New Roman" w:hAnsi="Times New Roman" w:eastAsia="Times New Roman" w:cs="Times New Roman"/>
          <w:bCs/>
          <w:color w:val="FF0000"/>
          <w:sz w:val="28"/>
          <w:szCs w:val="28"/>
          <w:lang w:eastAsia="en-GB"/>
        </w:rPr>
      </w:pPr>
      <w:r>
        <w:rPr>
          <w:rFonts w:ascii="Times New Roman" w:hAnsi="Times New Roman" w:eastAsia="Times New Roman" w:cs="Times New Roman"/>
          <w:bCs/>
          <w:color w:val="FF0000"/>
          <w:sz w:val="28"/>
          <w:szCs w:val="28"/>
          <w:lang w:eastAsia="en-GB"/>
        </w:rPr>
        <w:t xml:space="preserve">By virtue of Sections 303 – 305 of the Companies and Allied Matters Act 2020, a director who has personal interests in a particular contract of a company has a duty under the law to inform the other directors of the company. A clear example that comes to mind is a situation like this – a director called X works in XYZ Ltd and has a cousin who has entered a contract bid at XYZ Ltd. The intent of Section 303 of CAMA 2020 is that in circumstances like this the said director has to disclose this information to other directors of XYZ. If you look carefully at the wordings of the statute in the said section you’d see that it provides amongst other things “… to immediately notify the directors of such company </w:t>
      </w:r>
      <w:r>
        <w:rPr>
          <w:rFonts w:ascii="Times New Roman" w:hAnsi="Times New Roman" w:eastAsia="Times New Roman" w:cs="Times New Roman"/>
          <w:bCs/>
          <w:color w:val="FF0000"/>
          <w:sz w:val="28"/>
          <w:szCs w:val="28"/>
          <w:u w:val="single"/>
          <w:lang w:eastAsia="en-GB"/>
        </w:rPr>
        <w:t>in writing.”</w:t>
      </w:r>
    </w:p>
    <w:p w14:paraId="0DDC27A9">
      <w:pPr>
        <w:spacing w:before="100" w:beforeAutospacing="1" w:after="100" w:afterAutospacing="1" w:line="240" w:lineRule="auto"/>
        <w:outlineLvl w:val="2"/>
        <w:rPr>
          <w:rFonts w:ascii="Times New Roman" w:hAnsi="Times New Roman" w:eastAsia="Times New Roman" w:cs="Times New Roman"/>
          <w:bCs/>
          <w:color w:val="FF0000"/>
          <w:sz w:val="28"/>
          <w:szCs w:val="28"/>
          <w:lang w:eastAsia="en-GB"/>
        </w:rPr>
      </w:pPr>
      <w:r>
        <w:rPr>
          <w:rFonts w:ascii="Times New Roman" w:hAnsi="Times New Roman" w:eastAsia="Times New Roman" w:cs="Times New Roman"/>
          <w:bCs/>
          <w:color w:val="FF0000"/>
          <w:sz w:val="28"/>
          <w:szCs w:val="28"/>
          <w:lang w:eastAsia="en-GB"/>
        </w:rPr>
        <w:t xml:space="preserve">Emphasis there is IN WRITING. Therefore, a mere oral disclosure is not full compliance with the law. Such a director must make such disclosure in writing. </w:t>
      </w:r>
    </w:p>
    <w:p w14:paraId="4D44830A">
      <w:pPr>
        <w:spacing w:before="100" w:beforeAutospacing="1" w:after="100" w:afterAutospacing="1" w:line="240" w:lineRule="auto"/>
        <w:outlineLvl w:val="2"/>
        <w:rPr>
          <w:rFonts w:ascii="Times New Roman" w:hAnsi="Times New Roman" w:eastAsia="Times New Roman" w:cs="Times New Roman"/>
          <w:bCs/>
          <w:color w:val="FF0000"/>
          <w:sz w:val="28"/>
          <w:szCs w:val="28"/>
          <w:lang w:eastAsia="en-GB"/>
        </w:rPr>
      </w:pPr>
      <w:r>
        <w:rPr>
          <w:rFonts w:ascii="Times New Roman" w:hAnsi="Times New Roman" w:eastAsia="Times New Roman" w:cs="Times New Roman"/>
          <w:bCs/>
          <w:color w:val="FF0000"/>
          <w:sz w:val="28"/>
          <w:szCs w:val="28"/>
          <w:lang w:eastAsia="en-GB"/>
        </w:rPr>
        <w:t>You may be wondering why the law mandates a director to make such disclosure. It is pertinent therefore to state that a director of a company stands in a fiduciary relationship towards the company. This requirement of law is supported by Section 305 of CAMA 2020. This is why it is always emphasized in organizational circles that a director must not make secret profits. Such act would amount to breach of organizational ethics and would amount to a violation of the law. You don’t need a soothsayer to tell you that director X may be tempted to influence the contract procurement and bidding process in favour of his cousin, hence the provisions of the law to curtail acts of this nature and encourage a system of meritocracy.</w:t>
      </w:r>
    </w:p>
    <w:p w14:paraId="56DE32AD">
      <w:pPr>
        <w:spacing w:before="100" w:beforeAutospacing="1" w:after="100" w:afterAutospacing="1" w:line="240" w:lineRule="auto"/>
        <w:outlineLvl w:val="2"/>
        <w:rPr>
          <w:rFonts w:ascii="Times New Roman" w:hAnsi="Times New Roman" w:eastAsia="Times New Roman" w:cs="Times New Roman"/>
          <w:bCs/>
          <w:color w:val="FF0000"/>
          <w:sz w:val="28"/>
          <w:szCs w:val="28"/>
          <w:lang w:eastAsia="en-GB"/>
        </w:rPr>
      </w:pPr>
      <w:r>
        <w:rPr>
          <w:rFonts w:ascii="Times New Roman" w:hAnsi="Times New Roman" w:eastAsia="Times New Roman" w:cs="Times New Roman"/>
          <w:bCs/>
          <w:color w:val="FF0000"/>
          <w:sz w:val="28"/>
          <w:szCs w:val="28"/>
          <w:lang w:eastAsia="en-GB"/>
        </w:rPr>
        <w:t>Furthermore, the Investment and Securities Act 2007 is apposite here. A director must comply with the ISA 2007 and SEC Code of Corporate Governance 2018 regulating shares, stocks and the likes. For instance, insider trading is heavily frowned upon under the law. Section 111(1) of the ISA 2007 provides thus:</w:t>
      </w:r>
    </w:p>
    <w:p w14:paraId="17C6E2E3">
      <w:pPr>
        <w:pStyle w:val="18"/>
        <w:spacing w:before="100" w:beforeAutospacing="1" w:after="100" w:afterAutospacing="1" w:line="240" w:lineRule="auto"/>
        <w:outlineLvl w:val="2"/>
        <w:rPr>
          <w:rFonts w:ascii="Times New Roman" w:hAnsi="Times New Roman" w:cs="Times New Roman"/>
          <w:i/>
          <w:color w:val="FF0000"/>
          <w:sz w:val="28"/>
          <w:szCs w:val="28"/>
        </w:rPr>
      </w:pPr>
      <w:r>
        <w:rPr>
          <w:rFonts w:ascii="Times New Roman" w:hAnsi="Times New Roman" w:eastAsia="Times New Roman" w:cs="Times New Roman"/>
          <w:bCs/>
          <w:i/>
          <w:color w:val="FF0000"/>
          <w:sz w:val="28"/>
          <w:szCs w:val="28"/>
          <w:lang w:eastAsia="en-GB"/>
        </w:rPr>
        <w:t>“</w:t>
      </w:r>
      <w:r>
        <w:rPr>
          <w:rFonts w:ascii="Times New Roman" w:hAnsi="Times New Roman" w:cs="Times New Roman"/>
          <w:i/>
          <w:color w:val="FF0000"/>
          <w:sz w:val="28"/>
          <w:szCs w:val="28"/>
        </w:rPr>
        <w:t>Subject to section 104 of this Act, a person who is an insider of a company shall not buy or sell, or otherwise deal in the securities of a company which are offered to the public for sale or subscription if he has information which he knows is unpublished price sensitive information in relation to those securities.”</w:t>
      </w:r>
    </w:p>
    <w:p w14:paraId="1983513D">
      <w:pPr>
        <w:spacing w:after="120" w:line="240" w:lineRule="auto"/>
        <w:rPr>
          <w:rFonts w:ascii="Times New Roman" w:hAnsi="Times New Roman" w:eastAsia="Times New Roman" w:cs="Times New Roman"/>
          <w:color w:val="2D3748"/>
          <w:sz w:val="28"/>
          <w:szCs w:val="28"/>
          <w:lang w:eastAsia="en-GB"/>
        </w:rPr>
      </w:pPr>
    </w:p>
    <w:p w14:paraId="0FCA51C2">
      <w:pPr>
        <w:spacing w:before="480" w:after="240" w:line="240" w:lineRule="auto"/>
        <w:outlineLvl w:val="2"/>
        <w:rPr>
          <w:rFonts w:ascii="Times New Roman" w:hAnsi="Times New Roman" w:eastAsia="Times New Roman" w:cs="Times New Roman"/>
          <w:b/>
          <w:bCs/>
          <w:color w:val="1A2A4A"/>
          <w:sz w:val="28"/>
          <w:szCs w:val="28"/>
          <w:lang w:eastAsia="en-GB"/>
        </w:rPr>
      </w:pPr>
      <w:r>
        <w:rPr>
          <w:rFonts w:ascii="Times New Roman" w:hAnsi="Times New Roman" w:eastAsia="Times New Roman" w:cs="Times New Roman"/>
          <w:b/>
          <w:bCs/>
          <w:color w:val="1A2A4A"/>
          <w:sz w:val="28"/>
          <w:szCs w:val="28"/>
          <w:lang w:eastAsia="en-GB"/>
        </w:rPr>
        <w:t>2. Shareholder Rights</w:t>
      </w:r>
    </w:p>
    <w:p w14:paraId="04092FF4">
      <w:pPr>
        <w:spacing w:after="360" w:line="240" w:lineRule="auto"/>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Shareholders have fundamental rights that must be protected:</w:t>
      </w:r>
    </w:p>
    <w:p w14:paraId="58A18039">
      <w:pPr>
        <w:numPr>
          <w:ilvl w:val="0"/>
          <w:numId w:val="2"/>
        </w:numPr>
        <w:spacing w:after="120" w:line="240" w:lineRule="auto"/>
        <w:ind w:left="0"/>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Right to participate in major decisions</w:t>
      </w:r>
    </w:p>
    <w:p w14:paraId="23A814B6">
      <w:pPr>
        <w:numPr>
          <w:ilvl w:val="0"/>
          <w:numId w:val="2"/>
        </w:numPr>
        <w:spacing w:after="120" w:line="240" w:lineRule="auto"/>
        <w:ind w:left="0"/>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Right to receive dividends when declared</w:t>
      </w:r>
    </w:p>
    <w:p w14:paraId="1260E0C9">
      <w:pPr>
        <w:numPr>
          <w:ilvl w:val="0"/>
          <w:numId w:val="2"/>
        </w:numPr>
        <w:spacing w:after="120" w:line="240" w:lineRule="auto"/>
        <w:ind w:left="0"/>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Right to access company information</w:t>
      </w:r>
    </w:p>
    <w:p w14:paraId="5C33BBE5">
      <w:pPr>
        <w:numPr>
          <w:ilvl w:val="0"/>
          <w:numId w:val="2"/>
        </w:numPr>
        <w:spacing w:after="120" w:line="240" w:lineRule="auto"/>
        <w:ind w:left="0"/>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Right to attend and vote at general meetings</w:t>
      </w:r>
    </w:p>
    <w:p w14:paraId="29BA9467">
      <w:pPr>
        <w:spacing w:before="480" w:after="240" w:line="240" w:lineRule="auto"/>
        <w:outlineLvl w:val="2"/>
        <w:rPr>
          <w:rFonts w:ascii="Times New Roman" w:hAnsi="Times New Roman" w:eastAsia="Times New Roman" w:cs="Times New Roman"/>
          <w:b/>
          <w:bCs/>
          <w:color w:val="1A2A4A"/>
          <w:sz w:val="28"/>
          <w:szCs w:val="28"/>
          <w:lang w:eastAsia="en-GB"/>
        </w:rPr>
      </w:pPr>
      <w:r>
        <w:rPr>
          <w:rFonts w:ascii="Times New Roman" w:hAnsi="Times New Roman" w:eastAsia="Times New Roman" w:cs="Times New Roman"/>
          <w:b/>
          <w:bCs/>
          <w:color w:val="1A2A4A"/>
          <w:sz w:val="28"/>
          <w:szCs w:val="28"/>
          <w:lang w:eastAsia="en-GB"/>
        </w:rPr>
        <w:t>3. Transparency and Disclosure</w:t>
      </w:r>
    </w:p>
    <w:p w14:paraId="7A55E6A4">
      <w:pPr>
        <w:spacing w:after="360" w:line="240" w:lineRule="auto"/>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Nigerian companies are required to maintain transparency in their operations:</w:t>
      </w:r>
    </w:p>
    <w:p w14:paraId="46E53A33">
      <w:pPr>
        <w:numPr>
          <w:ilvl w:val="0"/>
          <w:numId w:val="3"/>
        </w:numPr>
        <w:spacing w:after="120" w:line="240" w:lineRule="auto"/>
        <w:ind w:left="0"/>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 xml:space="preserve">Annual financial statements must be prepared and audited </w:t>
      </w:r>
    </w:p>
    <w:p w14:paraId="4F029F02">
      <w:pPr>
        <w:spacing w:beforeAutospacing="1" w:after="100" w:afterAutospacing="1" w:line="240" w:lineRule="auto"/>
        <w:rPr>
          <w:rFonts w:ascii="Times New Roman" w:hAnsi="Times New Roman" w:eastAsia="Times New Roman" w:cs="Times New Roman"/>
          <w:color w:val="FF0000"/>
          <w:sz w:val="28"/>
          <w:szCs w:val="28"/>
          <w:lang w:eastAsia="en-GB"/>
        </w:rPr>
      </w:pPr>
      <w:r>
        <w:rPr>
          <w:rFonts w:ascii="Times New Roman" w:hAnsi="Times New Roman" w:eastAsia="Times New Roman" w:cs="Times New Roman"/>
          <w:color w:val="2D3748"/>
          <w:sz w:val="28"/>
          <w:szCs w:val="28"/>
          <w:lang w:eastAsia="en-GB"/>
        </w:rPr>
        <w:t xml:space="preserve">Material information must be disclosed to shareholders -- </w:t>
      </w:r>
      <w:r>
        <w:rPr>
          <w:rFonts w:ascii="Times New Roman" w:hAnsi="Times New Roman" w:eastAsia="Times New Roman" w:cs="Times New Roman"/>
          <w:color w:val="FF0000"/>
          <w:sz w:val="28"/>
          <w:szCs w:val="28"/>
          <w:lang w:eastAsia="en-GB"/>
        </w:rPr>
        <w:t>Public companies are more affected by this requirement of the law. Under the SEC Code of Corporate Governance 2018 not more than two persons from the same family shall be allowed to sit on the board of a public company at the same time.</w:t>
      </w:r>
    </w:p>
    <w:p w14:paraId="14E49C94">
      <w:pPr>
        <w:numPr>
          <w:ilvl w:val="0"/>
          <w:numId w:val="3"/>
        </w:numPr>
        <w:spacing w:after="120" w:line="240" w:lineRule="auto"/>
        <w:ind w:left="0"/>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Related party transactions must be properly documented</w:t>
      </w:r>
    </w:p>
    <w:p w14:paraId="164C2A2D">
      <w:pPr>
        <w:spacing w:before="720" w:after="360" w:line="240" w:lineRule="auto"/>
        <w:outlineLvl w:val="1"/>
        <w:rPr>
          <w:rFonts w:ascii="Times New Roman" w:hAnsi="Times New Roman" w:eastAsia="Times New Roman" w:cs="Times New Roman"/>
          <w:b/>
          <w:bCs/>
          <w:color w:val="1A2A4A"/>
          <w:sz w:val="28"/>
          <w:szCs w:val="28"/>
          <w:lang w:eastAsia="en-GB"/>
        </w:rPr>
      </w:pPr>
      <w:r>
        <w:rPr>
          <w:rFonts w:ascii="Times New Roman" w:hAnsi="Times New Roman" w:eastAsia="Times New Roman" w:cs="Times New Roman"/>
          <w:b/>
          <w:bCs/>
          <w:color w:val="1A2A4A"/>
          <w:sz w:val="28"/>
          <w:szCs w:val="28"/>
          <w:lang w:eastAsia="en-GB"/>
        </w:rPr>
        <w:t>Benefits of Good Corporate Governance</w:t>
      </w:r>
    </w:p>
    <w:p w14:paraId="4CA0B5B7">
      <w:pPr>
        <w:spacing w:after="360" w:line="240" w:lineRule="auto"/>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Implementing strong corporate governance practices offers numerous benefits:</w:t>
      </w:r>
    </w:p>
    <w:p w14:paraId="17BC7F0B">
      <w:pPr>
        <w:numPr>
          <w:ilvl w:val="0"/>
          <w:numId w:val="4"/>
        </w:numPr>
        <w:spacing w:after="0" w:line="240" w:lineRule="auto"/>
        <w:ind w:left="0"/>
        <w:rPr>
          <w:rFonts w:ascii="Times New Roman" w:hAnsi="Times New Roman" w:eastAsia="Times New Roman" w:cs="Times New Roman"/>
          <w:color w:val="2D3748"/>
          <w:sz w:val="28"/>
          <w:szCs w:val="28"/>
          <w:lang w:eastAsia="en-GB"/>
        </w:rPr>
      </w:pPr>
      <w:r>
        <w:rPr>
          <w:rFonts w:ascii="Times New Roman" w:hAnsi="Times New Roman" w:eastAsia="Times New Roman" w:cs="Times New Roman"/>
          <w:b/>
          <w:bCs/>
          <w:color w:val="2D3748"/>
          <w:sz w:val="28"/>
          <w:szCs w:val="28"/>
          <w:lang w:eastAsia="en-GB"/>
        </w:rPr>
        <w:t>Enhanced Reputation</w:t>
      </w:r>
      <w:r>
        <w:rPr>
          <w:rFonts w:ascii="Times New Roman" w:hAnsi="Times New Roman" w:eastAsia="Times New Roman" w:cs="Times New Roman"/>
          <w:color w:val="2D3748"/>
          <w:sz w:val="28"/>
          <w:szCs w:val="28"/>
          <w:lang w:eastAsia="en-GB"/>
        </w:rPr>
        <w:t>: Companies with good governance attract more investors and customers</w:t>
      </w:r>
    </w:p>
    <w:p w14:paraId="0AD28E90">
      <w:pPr>
        <w:numPr>
          <w:ilvl w:val="0"/>
          <w:numId w:val="4"/>
        </w:numPr>
        <w:spacing w:after="0" w:line="240" w:lineRule="auto"/>
        <w:ind w:left="0"/>
        <w:rPr>
          <w:rFonts w:ascii="Times New Roman" w:hAnsi="Times New Roman" w:eastAsia="Times New Roman" w:cs="Times New Roman"/>
          <w:color w:val="2D3748"/>
          <w:sz w:val="28"/>
          <w:szCs w:val="28"/>
          <w:lang w:eastAsia="en-GB"/>
        </w:rPr>
      </w:pPr>
      <w:r>
        <w:rPr>
          <w:rFonts w:ascii="Times New Roman" w:hAnsi="Times New Roman" w:eastAsia="Times New Roman" w:cs="Times New Roman"/>
          <w:b/>
          <w:bCs/>
          <w:color w:val="2D3748"/>
          <w:sz w:val="28"/>
          <w:szCs w:val="28"/>
          <w:lang w:eastAsia="en-GB"/>
        </w:rPr>
        <w:t>Risk Management</w:t>
      </w:r>
      <w:r>
        <w:rPr>
          <w:rFonts w:ascii="Times New Roman" w:hAnsi="Times New Roman" w:eastAsia="Times New Roman" w:cs="Times New Roman"/>
          <w:color w:val="2D3748"/>
          <w:sz w:val="28"/>
          <w:szCs w:val="28"/>
          <w:lang w:eastAsia="en-GB"/>
        </w:rPr>
        <w:t>: Proper governance structures help identify and mitigate risks</w:t>
      </w:r>
    </w:p>
    <w:p w14:paraId="2BF9D867">
      <w:pPr>
        <w:numPr>
          <w:ilvl w:val="0"/>
          <w:numId w:val="4"/>
        </w:numPr>
        <w:spacing w:after="0" w:line="240" w:lineRule="auto"/>
        <w:ind w:left="0"/>
        <w:rPr>
          <w:rFonts w:ascii="Times New Roman" w:hAnsi="Times New Roman" w:eastAsia="Times New Roman" w:cs="Times New Roman"/>
          <w:color w:val="2D3748"/>
          <w:sz w:val="28"/>
          <w:szCs w:val="28"/>
          <w:lang w:eastAsia="en-GB"/>
        </w:rPr>
      </w:pPr>
      <w:r>
        <w:rPr>
          <w:rFonts w:ascii="Times New Roman" w:hAnsi="Times New Roman" w:eastAsia="Times New Roman" w:cs="Times New Roman"/>
          <w:b/>
          <w:bCs/>
          <w:color w:val="2D3748"/>
          <w:sz w:val="28"/>
          <w:szCs w:val="28"/>
          <w:lang w:eastAsia="en-GB"/>
        </w:rPr>
        <w:t>Operational Efficiency</w:t>
      </w:r>
      <w:r>
        <w:rPr>
          <w:rFonts w:ascii="Times New Roman" w:hAnsi="Times New Roman" w:eastAsia="Times New Roman" w:cs="Times New Roman"/>
          <w:color w:val="2D3748"/>
          <w:sz w:val="28"/>
          <w:szCs w:val="28"/>
          <w:lang w:eastAsia="en-GB"/>
        </w:rPr>
        <w:t>: Clear policies and procedures improve decision-making</w:t>
      </w:r>
    </w:p>
    <w:p w14:paraId="5436BC99">
      <w:pPr>
        <w:numPr>
          <w:ilvl w:val="0"/>
          <w:numId w:val="4"/>
        </w:numPr>
        <w:spacing w:after="0" w:line="240" w:lineRule="auto"/>
        <w:ind w:left="0"/>
        <w:rPr>
          <w:rFonts w:ascii="Times New Roman" w:hAnsi="Times New Roman" w:eastAsia="Times New Roman" w:cs="Times New Roman"/>
          <w:color w:val="2D3748"/>
          <w:sz w:val="28"/>
          <w:szCs w:val="28"/>
          <w:lang w:eastAsia="en-GB"/>
        </w:rPr>
      </w:pPr>
      <w:r>
        <w:rPr>
          <w:rFonts w:ascii="Times New Roman" w:hAnsi="Times New Roman" w:eastAsia="Times New Roman" w:cs="Times New Roman"/>
          <w:b/>
          <w:bCs/>
          <w:color w:val="2D3748"/>
          <w:sz w:val="28"/>
          <w:szCs w:val="28"/>
          <w:lang w:eastAsia="en-GB"/>
        </w:rPr>
        <w:t>Access to Capital</w:t>
      </w:r>
      <w:r>
        <w:rPr>
          <w:rFonts w:ascii="Times New Roman" w:hAnsi="Times New Roman" w:eastAsia="Times New Roman" w:cs="Times New Roman"/>
          <w:color w:val="2D3748"/>
          <w:sz w:val="28"/>
          <w:szCs w:val="28"/>
          <w:lang w:eastAsia="en-GB"/>
        </w:rPr>
        <w:t>: Well-governed companies find it easier to raise funds</w:t>
      </w:r>
    </w:p>
    <w:p w14:paraId="34F96515">
      <w:pPr>
        <w:spacing w:before="720" w:after="360" w:line="240" w:lineRule="auto"/>
        <w:outlineLvl w:val="1"/>
        <w:rPr>
          <w:rFonts w:ascii="Times New Roman" w:hAnsi="Times New Roman" w:eastAsia="Times New Roman" w:cs="Times New Roman"/>
          <w:b/>
          <w:bCs/>
          <w:color w:val="1A2A4A"/>
          <w:sz w:val="28"/>
          <w:szCs w:val="28"/>
          <w:lang w:eastAsia="en-GB"/>
        </w:rPr>
      </w:pPr>
      <w:r>
        <w:rPr>
          <w:rFonts w:ascii="Times New Roman" w:hAnsi="Times New Roman" w:eastAsia="Times New Roman" w:cs="Times New Roman"/>
          <w:b/>
          <w:bCs/>
          <w:color w:val="1A2A4A"/>
          <w:sz w:val="28"/>
          <w:szCs w:val="28"/>
          <w:lang w:eastAsia="en-GB"/>
        </w:rPr>
        <w:t>How Brimany Attorneys Can Help</w:t>
      </w:r>
    </w:p>
    <w:p w14:paraId="115260D2">
      <w:pPr>
        <w:spacing w:after="360" w:line="240" w:lineRule="auto"/>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At Brimany Attorneys, we provide comprehensive corporate governance advisory services:</w:t>
      </w:r>
    </w:p>
    <w:p w14:paraId="06C8B6B2">
      <w:pPr>
        <w:numPr>
          <w:ilvl w:val="0"/>
          <w:numId w:val="5"/>
        </w:numPr>
        <w:spacing w:after="120" w:line="240" w:lineRule="auto"/>
        <w:ind w:left="0"/>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Board training and development</w:t>
      </w:r>
    </w:p>
    <w:p w14:paraId="2E717FE6">
      <w:pPr>
        <w:numPr>
          <w:ilvl w:val="0"/>
          <w:numId w:val="5"/>
        </w:numPr>
        <w:spacing w:after="120" w:line="240" w:lineRule="auto"/>
        <w:ind w:left="0"/>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Policy development and review</w:t>
      </w:r>
    </w:p>
    <w:p w14:paraId="016DACCC">
      <w:pPr>
        <w:numPr>
          <w:ilvl w:val="0"/>
          <w:numId w:val="5"/>
        </w:numPr>
        <w:spacing w:after="120" w:line="240" w:lineRule="auto"/>
        <w:ind w:left="0"/>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Compliance audits</w:t>
      </w:r>
    </w:p>
    <w:p w14:paraId="12655C1F">
      <w:pPr>
        <w:numPr>
          <w:ilvl w:val="0"/>
          <w:numId w:val="5"/>
        </w:numPr>
        <w:spacing w:after="120" w:line="240" w:lineRule="auto"/>
        <w:ind w:left="0"/>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Shareholder agreement drafting</w:t>
      </w:r>
    </w:p>
    <w:p w14:paraId="53CFE0AB">
      <w:pPr>
        <w:numPr>
          <w:ilvl w:val="0"/>
          <w:numId w:val="5"/>
        </w:numPr>
        <w:spacing w:after="120" w:line="240" w:lineRule="auto"/>
        <w:ind w:left="0"/>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Corporate restructuring</w:t>
      </w:r>
    </w:p>
    <w:p w14:paraId="30B3F692">
      <w:pPr>
        <w:numPr>
          <w:ilvl w:val="0"/>
          <w:numId w:val="5"/>
        </w:numPr>
        <w:spacing w:after="120" w:line="240" w:lineRule="auto"/>
        <w:ind w:left="0"/>
        <w:rPr>
          <w:rFonts w:ascii="Times New Roman" w:hAnsi="Times New Roman" w:eastAsia="Times New Roman" w:cs="Times New Roman"/>
          <w:color w:val="FF0000"/>
          <w:sz w:val="28"/>
          <w:szCs w:val="28"/>
          <w:lang w:eastAsia="en-GB"/>
        </w:rPr>
      </w:pPr>
      <w:r>
        <w:rPr>
          <w:rFonts w:ascii="Times New Roman" w:hAnsi="Times New Roman" w:cs="Times New Roman"/>
          <w:color w:val="FF0000"/>
          <w:sz w:val="28"/>
          <w:szCs w:val="28"/>
        </w:rPr>
        <w:t xml:space="preserve">Specialized Company Secretarial Services – If you work in a corporate setting you may be aware that the role of a company secretary under the CAMA 2020 has evolved. </w:t>
      </w:r>
    </w:p>
    <w:p w14:paraId="699C0304">
      <w:pPr>
        <w:numPr>
          <w:ilvl w:val="0"/>
          <w:numId w:val="5"/>
        </w:numPr>
        <w:spacing w:after="120" w:line="240" w:lineRule="auto"/>
        <w:ind w:left="0"/>
        <w:rPr>
          <w:rFonts w:ascii="Times New Roman" w:hAnsi="Times New Roman" w:eastAsia="Times New Roman" w:cs="Times New Roman"/>
          <w:color w:val="FF0000"/>
          <w:sz w:val="28"/>
          <w:szCs w:val="28"/>
          <w:lang w:eastAsia="en-GB"/>
        </w:rPr>
      </w:pPr>
      <w:r>
        <w:rPr>
          <w:rFonts w:ascii="Times New Roman" w:hAnsi="Times New Roman" w:cs="Times New Roman"/>
          <w:sz w:val="28"/>
          <w:szCs w:val="28"/>
        </w:rPr>
        <w:t>CAC Compliance &amp; Statutory Filings –</w:t>
      </w:r>
      <w:r>
        <w:rPr>
          <w:rFonts w:ascii="Times New Roman" w:hAnsi="Times New Roman" w:eastAsia="Times New Roman" w:cs="Times New Roman"/>
          <w:color w:val="FF0000"/>
          <w:sz w:val="28"/>
          <w:szCs w:val="28"/>
          <w:lang w:eastAsia="en-GB"/>
        </w:rPr>
        <w:t xml:space="preserve"> We help you with administrative legal tasks such as this so you can focus on other aspects of your business and keep winning unafraid of any regulatory bottlenecks that may want to rear its head. Thus, we assist with filing Annual Returns, allotment of shares, and so on.</w:t>
      </w:r>
    </w:p>
    <w:p w14:paraId="59BF6AC3">
      <w:pPr>
        <w:spacing w:after="360" w:line="240" w:lineRule="auto"/>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Our team has extensive experience helping Nigerian businesses establish and maintain robust governance frameworks that comply with local regulations while meeting international best practices.</w:t>
      </w:r>
    </w:p>
    <w:p w14:paraId="1DB82702">
      <w:pPr>
        <w:spacing w:before="720" w:after="360" w:line="240" w:lineRule="auto"/>
        <w:outlineLvl w:val="1"/>
        <w:rPr>
          <w:rFonts w:ascii="Times New Roman" w:hAnsi="Times New Roman" w:eastAsia="Times New Roman" w:cs="Times New Roman"/>
          <w:b/>
          <w:bCs/>
          <w:color w:val="1A2A4A"/>
          <w:sz w:val="28"/>
          <w:szCs w:val="28"/>
          <w:lang w:eastAsia="en-GB"/>
        </w:rPr>
      </w:pPr>
      <w:r>
        <w:rPr>
          <w:rFonts w:ascii="Times New Roman" w:hAnsi="Times New Roman" w:eastAsia="Times New Roman" w:cs="Times New Roman"/>
          <w:b/>
          <w:bCs/>
          <w:color w:val="1A2A4A"/>
          <w:sz w:val="28"/>
          <w:szCs w:val="28"/>
          <w:lang w:eastAsia="en-GB"/>
        </w:rPr>
        <w:t>Conclusion</w:t>
      </w:r>
    </w:p>
    <w:p w14:paraId="5BBBC172">
      <w:pPr>
        <w:spacing w:after="360" w:line="240" w:lineRule="auto"/>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Good corporate governance is not just a regulatory requirement—it's a competitive advantage. As Nigeria's business environment continues to evolve, companies that prioritize governance will be better positioned for long-term success.</w:t>
      </w:r>
    </w:p>
    <w:p w14:paraId="54FCE3C8">
      <w:pPr>
        <w:spacing w:after="0" w:line="240" w:lineRule="auto"/>
        <w:rPr>
          <w:rFonts w:ascii="Times New Roman" w:hAnsi="Times New Roman" w:eastAsia="Times New Roman" w:cs="Times New Roman"/>
          <w:color w:val="2D3748"/>
          <w:sz w:val="28"/>
          <w:szCs w:val="28"/>
          <w:lang w:eastAsia="en-GB"/>
        </w:rPr>
      </w:pPr>
      <w:r>
        <w:rPr>
          <w:rFonts w:ascii="Times New Roman" w:hAnsi="Times New Roman" w:eastAsia="Times New Roman" w:cs="Times New Roman"/>
          <w:color w:val="2D3748"/>
          <w:sz w:val="28"/>
          <w:szCs w:val="28"/>
          <w:lang w:eastAsia="en-GB"/>
        </w:rPr>
        <w:t>If you need assistance with corporate governance matters, </w:t>
      </w:r>
      <w:r>
        <w:fldChar w:fldCharType="begin"/>
      </w:r>
      <w:r>
        <w:instrText xml:space="preserve"> HYPERLINK "https://blog.brimanyattorneys.com/contact" </w:instrText>
      </w:r>
      <w:r>
        <w:fldChar w:fldCharType="separate"/>
      </w:r>
      <w:r>
        <w:rPr>
          <w:rFonts w:ascii="Times New Roman" w:hAnsi="Times New Roman" w:eastAsia="Times New Roman" w:cs="Times New Roman"/>
          <w:color w:val="C9A227"/>
          <w:sz w:val="28"/>
          <w:szCs w:val="28"/>
          <w:u w:val="single"/>
          <w:lang w:eastAsia="en-GB"/>
        </w:rPr>
        <w:t>contact our team</w:t>
      </w:r>
      <w:r>
        <w:rPr>
          <w:rFonts w:ascii="Times New Roman" w:hAnsi="Times New Roman" w:eastAsia="Times New Roman" w:cs="Times New Roman"/>
          <w:color w:val="C9A227"/>
          <w:sz w:val="28"/>
          <w:szCs w:val="28"/>
          <w:u w:val="single"/>
          <w:lang w:eastAsia="en-GB"/>
        </w:rPr>
        <w:fldChar w:fldCharType="end"/>
      </w:r>
      <w:r>
        <w:rPr>
          <w:rFonts w:ascii="Times New Roman" w:hAnsi="Times New Roman" w:eastAsia="Times New Roman" w:cs="Times New Roman"/>
          <w:color w:val="2D3748"/>
          <w:sz w:val="28"/>
          <w:szCs w:val="28"/>
          <w:lang w:eastAsia="en-GB"/>
        </w:rPr>
        <w:t> for a consultation.</w:t>
      </w:r>
    </w:p>
    <w:p w14:paraId="07276DB3">
      <w:pPr>
        <w:spacing w:before="100" w:beforeAutospacing="1" w:after="100" w:afterAutospacing="1" w:line="240" w:lineRule="auto"/>
        <w:outlineLvl w:val="2"/>
        <w:rPr>
          <w:rFonts w:ascii="Times New Roman" w:hAnsi="Times New Roman" w:eastAsia="Times New Roman" w:cs="Times New Roman"/>
          <w:bCs/>
          <w:sz w:val="28"/>
          <w:szCs w:val="28"/>
          <w:lang w:eastAsia="en-GB"/>
        </w:rPr>
      </w:pPr>
    </w:p>
    <w:p w14:paraId="257AE7D6">
      <w:pPr>
        <w:spacing w:after="0" w:line="240" w:lineRule="auto"/>
        <w:rPr>
          <w:rFonts w:ascii="Times New Roman" w:hAnsi="Times New Roman" w:eastAsia="Times New Roman" w:cs="Times New Roman"/>
          <w:sz w:val="28"/>
          <w:szCs w:val="28"/>
          <w:lang w:eastAsia="en-GB"/>
        </w:rPr>
      </w:pPr>
    </w:p>
    <w:p w14:paraId="32010206">
      <w:pPr>
        <w:spacing w:after="0" w:line="240" w:lineRule="auto"/>
        <w:rPr>
          <w:rFonts w:ascii="Times New Roman" w:hAnsi="Times New Roman" w:eastAsia="Times New Roman" w:cs="Times New Roman"/>
          <w:sz w:val="28"/>
          <w:szCs w:val="28"/>
          <w:lang w:eastAsia="en-GB"/>
        </w:rPr>
      </w:pPr>
    </w:p>
    <w:p w14:paraId="105AC7EC">
      <w:pPr>
        <w:spacing w:after="0" w:line="240" w:lineRule="auto"/>
        <w:rPr>
          <w:rFonts w:ascii="Times New Roman" w:hAnsi="Times New Roman" w:eastAsia="Times New Roman" w:cs="Times New Roman"/>
          <w:sz w:val="28"/>
          <w:szCs w:val="28"/>
          <w:lang w:eastAsia="en-GB"/>
        </w:rPr>
      </w:pPr>
    </w:p>
    <w:p w14:paraId="1EAB20C6">
      <w:pPr>
        <w:spacing w:after="0" w:line="240" w:lineRule="auto"/>
        <w:rPr>
          <w:rFonts w:ascii="Times New Roman" w:hAnsi="Times New Roman" w:eastAsia="Times New Roman" w:cs="Times New Roman"/>
          <w:sz w:val="28"/>
          <w:szCs w:val="28"/>
          <w:lang w:eastAsia="en-GB"/>
        </w:rPr>
      </w:pPr>
    </w:p>
    <w:p w14:paraId="42310D2F">
      <w:pPr>
        <w:spacing w:after="0" w:line="240" w:lineRule="auto"/>
        <w:rPr>
          <w:rFonts w:ascii="Times New Roman" w:hAnsi="Times New Roman" w:eastAsia="Times New Roman" w:cs="Times New Roman"/>
          <w:sz w:val="28"/>
          <w:szCs w:val="28"/>
          <w:lang w:eastAsia="en-GB"/>
        </w:rPr>
      </w:pPr>
    </w:p>
    <w:p w14:paraId="3B5D23CC">
      <w:pPr>
        <w:spacing w:after="0" w:line="240" w:lineRule="auto"/>
        <w:rPr>
          <w:rFonts w:ascii="Times New Roman" w:hAnsi="Times New Roman" w:eastAsia="Times New Roman" w:cs="Times New Roman"/>
          <w:sz w:val="28"/>
          <w:szCs w:val="28"/>
          <w:lang w:eastAsia="en-GB"/>
        </w:rPr>
      </w:pPr>
    </w:p>
    <w:p w14:paraId="5784B468">
      <w:pPr>
        <w:spacing w:after="0" w:line="240" w:lineRule="auto"/>
        <w:rPr>
          <w:rFonts w:ascii="Times New Roman" w:hAnsi="Times New Roman" w:eastAsia="Times New Roman" w:cs="Times New Roman"/>
          <w:sz w:val="28"/>
          <w:szCs w:val="28"/>
          <w:lang w:eastAsia="en-GB"/>
        </w:rPr>
      </w:pPr>
    </w:p>
    <w:p w14:paraId="50752325">
      <w:pPr>
        <w:spacing w:after="0" w:line="240" w:lineRule="auto"/>
        <w:rPr>
          <w:rFonts w:ascii="Times New Roman" w:hAnsi="Times New Roman" w:eastAsia="Times New Roman" w:cs="Times New Roman"/>
          <w:sz w:val="28"/>
          <w:szCs w:val="28"/>
          <w:lang w:eastAsia="en-GB"/>
        </w:rPr>
      </w:pPr>
    </w:p>
    <w:p w14:paraId="319D2252">
      <w:pPr>
        <w:spacing w:after="0" w:line="240" w:lineRule="auto"/>
        <w:rPr>
          <w:rFonts w:ascii="Times New Roman" w:hAnsi="Times New Roman" w:eastAsia="Times New Roman" w:cs="Times New Roman"/>
          <w:sz w:val="28"/>
          <w:szCs w:val="28"/>
          <w:lang w:eastAsia="en-GB"/>
        </w:rPr>
      </w:pPr>
    </w:p>
    <w:p w14:paraId="7BA6E8D8">
      <w:pPr>
        <w:spacing w:after="0" w:line="240" w:lineRule="auto"/>
        <w:rPr>
          <w:rFonts w:ascii="Times New Roman" w:hAnsi="Times New Roman" w:eastAsia="Times New Roman" w:cs="Times New Roman"/>
          <w:sz w:val="28"/>
          <w:szCs w:val="28"/>
          <w:lang w:eastAsia="en-GB"/>
        </w:rPr>
      </w:pPr>
    </w:p>
    <w:p w14:paraId="24D90FAD">
      <w:pPr>
        <w:spacing w:after="0" w:line="240" w:lineRule="auto"/>
        <w:rPr>
          <w:rFonts w:ascii="Times New Roman" w:hAnsi="Times New Roman" w:eastAsia="Times New Roman" w:cs="Times New Roman"/>
          <w:sz w:val="28"/>
          <w:szCs w:val="28"/>
          <w:lang w:eastAsia="en-GB"/>
        </w:rPr>
      </w:pPr>
    </w:p>
    <w:p w14:paraId="7975978A">
      <w:pPr>
        <w:spacing w:after="0" w:line="240" w:lineRule="auto"/>
        <w:rPr>
          <w:rFonts w:ascii="Times New Roman" w:hAnsi="Times New Roman" w:eastAsia="Times New Roman" w:cs="Times New Roman"/>
          <w:sz w:val="28"/>
          <w:szCs w:val="28"/>
          <w:lang w:eastAsia="en-GB"/>
        </w:rPr>
      </w:pPr>
    </w:p>
    <w:p w14:paraId="38C9A91E">
      <w:pPr>
        <w:spacing w:after="0" w:line="240" w:lineRule="auto"/>
        <w:rPr>
          <w:rFonts w:ascii="Times New Roman" w:hAnsi="Times New Roman" w:eastAsia="Times New Roman" w:cs="Times New Roman"/>
          <w:sz w:val="28"/>
          <w:szCs w:val="28"/>
          <w:lang w:eastAsia="en-GB"/>
        </w:rPr>
      </w:pPr>
    </w:p>
    <w:p w14:paraId="0E29625C">
      <w:pPr>
        <w:spacing w:after="0" w:line="240" w:lineRule="auto"/>
        <w:rPr>
          <w:rFonts w:ascii="Times New Roman" w:hAnsi="Times New Roman" w:eastAsia="Times New Roman" w:cs="Times New Roman"/>
          <w:sz w:val="28"/>
          <w:szCs w:val="28"/>
          <w:lang w:eastAsia="en-GB"/>
        </w:rPr>
      </w:pPr>
    </w:p>
    <w:p w14:paraId="5BE67091">
      <w:pPr>
        <w:spacing w:after="0" w:line="240" w:lineRule="auto"/>
        <w:rPr>
          <w:rFonts w:ascii="Times New Roman" w:hAnsi="Times New Roman" w:eastAsia="Times New Roman" w:cs="Times New Roman"/>
          <w:sz w:val="28"/>
          <w:szCs w:val="28"/>
          <w:lang w:eastAsia="en-GB"/>
        </w:rPr>
      </w:pPr>
    </w:p>
    <w:p w14:paraId="0E07601B">
      <w:pPr>
        <w:pStyle w:val="3"/>
        <w:shd w:val="clear" w:color="auto" w:fill="FFFFFF"/>
        <w:spacing w:before="0" w:beforeAutospacing="0" w:after="0" w:afterAutospacing="0"/>
        <w:rPr>
          <w:color w:val="1A2A4A"/>
          <w:sz w:val="40"/>
          <w:szCs w:val="40"/>
        </w:rPr>
      </w:pPr>
      <w:r>
        <w:rPr>
          <w:color w:val="1A2A4A"/>
          <w:sz w:val="40"/>
          <w:szCs w:val="40"/>
        </w:rPr>
        <w:t>Employee Rights Under Nigerian Labour Law: What Every Worker Should Know</w:t>
      </w:r>
    </w:p>
    <w:p w14:paraId="6EE8DE6C">
      <w:pPr>
        <w:pStyle w:val="3"/>
        <w:shd w:val="clear" w:color="auto" w:fill="FFFFFF"/>
        <w:spacing w:before="0" w:beforeAutospacing="0" w:after="0" w:afterAutospacing="0"/>
        <w:rPr>
          <w:color w:val="1A2A4A"/>
        </w:rPr>
      </w:pPr>
    </w:p>
    <w:p w14:paraId="7347B36C">
      <w:pPr>
        <w:pStyle w:val="12"/>
        <w:spacing w:before="0" w:beforeAutospacing="0" w:after="360" w:afterAutospacing="0"/>
        <w:rPr>
          <w:color w:val="2D3748"/>
          <w:sz w:val="28"/>
          <w:szCs w:val="28"/>
        </w:rPr>
      </w:pPr>
      <w:r>
        <w:rPr>
          <w:color w:val="2D3748"/>
          <w:sz w:val="28"/>
          <w:szCs w:val="28"/>
        </w:rPr>
        <w:t>Nigerian labour law provides significant protections for employees across various industries. Whether you're just entering the workforce or have been working for years, understanding your legal rights is essential for maintaining a fair and healthy employment relationship.</w:t>
      </w:r>
    </w:p>
    <w:p w14:paraId="7A13FD00">
      <w:pPr>
        <w:pStyle w:val="3"/>
        <w:spacing w:before="720" w:beforeAutospacing="0" w:after="360" w:afterAutospacing="0"/>
        <w:rPr>
          <w:color w:val="1A2A4A"/>
          <w:sz w:val="28"/>
          <w:szCs w:val="28"/>
        </w:rPr>
      </w:pPr>
      <w:r>
        <w:rPr>
          <w:color w:val="1A2A4A"/>
          <w:sz w:val="28"/>
          <w:szCs w:val="28"/>
        </w:rPr>
        <w:t>Primary Sources of Labour Law in Nigeria</w:t>
      </w:r>
    </w:p>
    <w:p w14:paraId="173AC1E4">
      <w:pPr>
        <w:pStyle w:val="12"/>
        <w:spacing w:before="0" w:beforeAutospacing="0" w:after="360" w:afterAutospacing="0"/>
        <w:rPr>
          <w:color w:val="2D3748"/>
          <w:sz w:val="28"/>
          <w:szCs w:val="28"/>
        </w:rPr>
      </w:pPr>
      <w:r>
        <w:rPr>
          <w:color w:val="2D3748"/>
          <w:sz w:val="28"/>
          <w:szCs w:val="28"/>
        </w:rPr>
        <w:t>Nigerian labour law is derived from several key sources:</w:t>
      </w:r>
    </w:p>
    <w:p w14:paraId="4F2413E8">
      <w:pPr>
        <w:numPr>
          <w:ilvl w:val="0"/>
          <w:numId w:val="6"/>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The Labour Act (Cap L1, LFN 2004)</w:t>
      </w:r>
      <w:r>
        <w:rPr>
          <w:rFonts w:ascii="Times New Roman" w:hAnsi="Times New Roman" w:cs="Times New Roman"/>
          <w:color w:val="2D3748"/>
          <w:sz w:val="28"/>
          <w:szCs w:val="28"/>
        </w:rPr>
        <w:t>: The primary legislation governing employment</w:t>
      </w:r>
    </w:p>
    <w:p w14:paraId="0F326F16">
      <w:pPr>
        <w:numPr>
          <w:ilvl w:val="0"/>
          <w:numId w:val="6"/>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The Constitution of the Federal Republic of Nigeria</w:t>
      </w:r>
      <w:r>
        <w:rPr>
          <w:rFonts w:ascii="Times New Roman" w:hAnsi="Times New Roman" w:cs="Times New Roman"/>
          <w:color w:val="2D3748"/>
          <w:sz w:val="28"/>
          <w:szCs w:val="28"/>
        </w:rPr>
        <w:t>: Provides fundamental rights</w:t>
      </w:r>
    </w:p>
    <w:p w14:paraId="5B9A9CB1">
      <w:pPr>
        <w:numPr>
          <w:ilvl w:val="0"/>
          <w:numId w:val="6"/>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Various Regulations and Orders</w:t>
      </w:r>
      <w:r>
        <w:rPr>
          <w:rFonts w:ascii="Times New Roman" w:hAnsi="Times New Roman" w:cs="Times New Roman"/>
          <w:color w:val="2D3748"/>
          <w:sz w:val="28"/>
          <w:szCs w:val="28"/>
        </w:rPr>
        <w:t>: Sector-specific rules and guidelines</w:t>
      </w:r>
    </w:p>
    <w:p w14:paraId="57CD9DEE">
      <w:pPr>
        <w:numPr>
          <w:ilvl w:val="0"/>
          <w:numId w:val="6"/>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Collective Agreements</w:t>
      </w:r>
      <w:r>
        <w:rPr>
          <w:rFonts w:ascii="Times New Roman" w:hAnsi="Times New Roman" w:cs="Times New Roman"/>
          <w:color w:val="2D3748"/>
          <w:sz w:val="28"/>
          <w:szCs w:val="28"/>
        </w:rPr>
        <w:t>: Negotiated terms between employers and unions –</w:t>
      </w:r>
    </w:p>
    <w:p w14:paraId="555508F4">
      <w:pPr>
        <w:spacing w:after="0" w:line="240" w:lineRule="auto"/>
        <w:rPr>
          <w:rStyle w:val="13"/>
          <w:rFonts w:ascii="Times New Roman" w:hAnsi="Times New Roman" w:cs="Times New Roman"/>
          <w:color w:val="2D3748"/>
          <w:sz w:val="28"/>
          <w:szCs w:val="28"/>
        </w:rPr>
      </w:pPr>
    </w:p>
    <w:p w14:paraId="4E347623">
      <w:pPr>
        <w:spacing w:after="0" w:line="240" w:lineRule="auto"/>
        <w:rPr>
          <w:rFonts w:ascii="Times New Roman" w:hAnsi="Times New Roman" w:cs="Times New Roman"/>
          <w:color w:val="FF0000"/>
          <w:sz w:val="28"/>
          <w:szCs w:val="28"/>
        </w:rPr>
      </w:pPr>
      <w:r>
        <w:rPr>
          <w:rFonts w:ascii="Times New Roman" w:hAnsi="Times New Roman" w:cs="Times New Roman"/>
          <w:color w:val="FF0000"/>
          <w:sz w:val="28"/>
          <w:szCs w:val="28"/>
        </w:rPr>
        <w:t>While collective agreements can be treated as a source of labour law in Nigeria, it is equally germane to state that they must comply with any minimum requirement provided by the law. In other words, they cannot be inconsistent with statutory provision. They are basically there to supplement. If the requirement on annual leave provides for a minimum of 6 days for annual leave, then 6 days remains the benchmark. It cannot go below but certainly can go above in the given circumstance where it is so negotiated and agreed upon by parties.</w:t>
      </w:r>
    </w:p>
    <w:p w14:paraId="4CA35679">
      <w:pPr>
        <w:pStyle w:val="3"/>
        <w:spacing w:before="720" w:beforeAutospacing="0" w:after="360" w:afterAutospacing="0"/>
        <w:rPr>
          <w:color w:val="1A2A4A"/>
          <w:sz w:val="28"/>
          <w:szCs w:val="28"/>
        </w:rPr>
      </w:pPr>
      <w:r>
        <w:rPr>
          <w:color w:val="1A2A4A"/>
          <w:sz w:val="28"/>
          <w:szCs w:val="28"/>
        </w:rPr>
        <w:t>Fundamental Employee Rights</w:t>
      </w:r>
    </w:p>
    <w:p w14:paraId="6F1C50DD">
      <w:pPr>
        <w:pStyle w:val="4"/>
        <w:spacing w:before="480" w:beforeAutospacing="0" w:after="240" w:afterAutospacing="0"/>
        <w:rPr>
          <w:color w:val="1A2A4A"/>
          <w:sz w:val="28"/>
          <w:szCs w:val="28"/>
        </w:rPr>
      </w:pPr>
      <w:r>
        <w:rPr>
          <w:color w:val="1A2A4A"/>
          <w:sz w:val="28"/>
          <w:szCs w:val="28"/>
        </w:rPr>
        <w:t>1. Right to Fair Wages</w:t>
      </w:r>
    </w:p>
    <w:p w14:paraId="568277D8">
      <w:pPr>
        <w:pStyle w:val="12"/>
        <w:spacing w:before="0" w:beforeAutospacing="0" w:after="360" w:afterAutospacing="0"/>
        <w:rPr>
          <w:color w:val="2D3748"/>
          <w:sz w:val="28"/>
          <w:szCs w:val="28"/>
        </w:rPr>
      </w:pPr>
      <w:r>
        <w:rPr>
          <w:color w:val="2D3748"/>
          <w:sz w:val="28"/>
          <w:szCs w:val="28"/>
        </w:rPr>
        <w:t>Every employee has the right to fair compensation for their work:</w:t>
      </w:r>
    </w:p>
    <w:p w14:paraId="2F03ACD3">
      <w:pPr>
        <w:numPr>
          <w:ilvl w:val="0"/>
          <w:numId w:val="7"/>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The current national minimum wage must be observed</w:t>
      </w:r>
    </w:p>
    <w:p w14:paraId="4328F74C">
      <w:pPr>
        <w:numPr>
          <w:ilvl w:val="0"/>
          <w:numId w:val="7"/>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Wages must be paid at agreed intervals (usually monthly)</w:t>
      </w:r>
    </w:p>
    <w:p w14:paraId="7BCF3601">
      <w:pPr>
        <w:numPr>
          <w:ilvl w:val="0"/>
          <w:numId w:val="7"/>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Unlawful deductions from wages are prohibited</w:t>
      </w:r>
    </w:p>
    <w:p w14:paraId="124668ED">
      <w:pPr>
        <w:numPr>
          <w:ilvl w:val="0"/>
          <w:numId w:val="7"/>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Overtime pay may be required for work beyond standard hours</w:t>
      </w:r>
    </w:p>
    <w:p w14:paraId="29B9F99C">
      <w:pPr>
        <w:pStyle w:val="4"/>
        <w:spacing w:before="480" w:beforeAutospacing="0" w:after="240" w:afterAutospacing="0"/>
        <w:rPr>
          <w:color w:val="1A2A4A"/>
          <w:sz w:val="28"/>
          <w:szCs w:val="28"/>
        </w:rPr>
      </w:pPr>
      <w:r>
        <w:rPr>
          <w:color w:val="1A2A4A"/>
          <w:sz w:val="28"/>
          <w:szCs w:val="28"/>
        </w:rPr>
        <w:t>2. Working Hours and Rest Periods</w:t>
      </w:r>
    </w:p>
    <w:p w14:paraId="3357F47B">
      <w:pPr>
        <w:pStyle w:val="12"/>
        <w:spacing w:before="0" w:beforeAutospacing="0" w:after="360" w:afterAutospacing="0"/>
        <w:rPr>
          <w:color w:val="2D3748"/>
          <w:sz w:val="28"/>
          <w:szCs w:val="28"/>
        </w:rPr>
      </w:pPr>
      <w:r>
        <w:rPr>
          <w:color w:val="2D3748"/>
          <w:sz w:val="28"/>
          <w:szCs w:val="28"/>
        </w:rPr>
        <w:t>The law establishes limits on working hours:</w:t>
      </w:r>
    </w:p>
    <w:p w14:paraId="5101B646">
      <w:pPr>
        <w:numPr>
          <w:ilvl w:val="0"/>
          <w:numId w:val="8"/>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Standard working hours should not exceed 8 hours per day</w:t>
      </w:r>
    </w:p>
    <w:p w14:paraId="7D59E576">
      <w:pPr>
        <w:numPr>
          <w:ilvl w:val="0"/>
          <w:numId w:val="8"/>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Workers are entitled to at least one rest day per week</w:t>
      </w:r>
    </w:p>
    <w:p w14:paraId="626AFD6E">
      <w:pPr>
        <w:numPr>
          <w:ilvl w:val="0"/>
          <w:numId w:val="8"/>
        </w:numPr>
        <w:spacing w:after="120" w:line="240" w:lineRule="auto"/>
        <w:ind w:left="0"/>
        <w:rPr>
          <w:rFonts w:ascii="Times New Roman" w:hAnsi="Times New Roman" w:cs="Times New Roman"/>
          <w:color w:val="FF0000"/>
          <w:sz w:val="28"/>
          <w:szCs w:val="28"/>
        </w:rPr>
      </w:pPr>
      <w:r>
        <w:rPr>
          <w:rFonts w:ascii="Times New Roman" w:hAnsi="Times New Roman" w:cs="Times New Roman"/>
          <w:color w:val="2D3748"/>
          <w:sz w:val="28"/>
          <w:szCs w:val="28"/>
        </w:rPr>
        <w:t xml:space="preserve">Annual leave of at least 6 working days after 12 months of service </w:t>
      </w:r>
      <w:r>
        <w:rPr>
          <w:rFonts w:ascii="Times New Roman" w:hAnsi="Times New Roman" w:cs="Times New Roman"/>
          <w:color w:val="FF0000"/>
          <w:sz w:val="28"/>
          <w:szCs w:val="28"/>
        </w:rPr>
        <w:t>(</w:t>
      </w:r>
      <w:r>
        <w:rPr>
          <w:rStyle w:val="13"/>
          <w:rFonts w:ascii="Times New Roman" w:hAnsi="Times New Roman" w:cs="Times New Roman"/>
          <w:b w:val="0"/>
          <w:color w:val="FF0000"/>
          <w:sz w:val="28"/>
          <w:szCs w:val="28"/>
        </w:rPr>
        <w:t>Section 18 of the Labour Act</w:t>
      </w:r>
      <w:r>
        <w:rPr>
          <w:rFonts w:ascii="Times New Roman" w:hAnsi="Times New Roman" w:cs="Times New Roman"/>
          <w:b/>
          <w:color w:val="FF0000"/>
          <w:sz w:val="28"/>
          <w:szCs w:val="28"/>
        </w:rPr>
        <w:t xml:space="preserve"> </w:t>
      </w:r>
      <w:r>
        <w:rPr>
          <w:rFonts w:ascii="Times New Roman" w:hAnsi="Times New Roman" w:cs="Times New Roman"/>
          <w:color w:val="FF0000"/>
          <w:sz w:val="28"/>
          <w:szCs w:val="28"/>
        </w:rPr>
        <w:t xml:space="preserve">(Cap L1, LFN 2004). This is particularly common for private companies. Public companies may provide more days for annual leave. Of course, businesses exist in different sectors and have their industry standards when it comes to the issue of annual leave. </w:t>
      </w:r>
    </w:p>
    <w:p w14:paraId="301823F6">
      <w:pPr>
        <w:numPr>
          <w:ilvl w:val="0"/>
          <w:numId w:val="8"/>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Public holidays as declared by the government</w:t>
      </w:r>
    </w:p>
    <w:p w14:paraId="2F2FC7B5">
      <w:pPr>
        <w:pStyle w:val="4"/>
        <w:spacing w:before="480" w:beforeAutospacing="0" w:after="240" w:afterAutospacing="0"/>
        <w:rPr>
          <w:color w:val="1A2A4A"/>
          <w:sz w:val="28"/>
          <w:szCs w:val="28"/>
        </w:rPr>
      </w:pPr>
      <w:r>
        <w:rPr>
          <w:color w:val="1A2A4A"/>
          <w:sz w:val="28"/>
          <w:szCs w:val="28"/>
        </w:rPr>
        <w:t>3. Safe Working Conditions</w:t>
      </w:r>
    </w:p>
    <w:p w14:paraId="1FCB2942">
      <w:pPr>
        <w:pStyle w:val="12"/>
        <w:spacing w:before="0" w:beforeAutospacing="0" w:after="360" w:afterAutospacing="0"/>
        <w:rPr>
          <w:color w:val="2D3748"/>
          <w:sz w:val="28"/>
          <w:szCs w:val="28"/>
        </w:rPr>
      </w:pPr>
      <w:r>
        <w:rPr>
          <w:color w:val="2D3748"/>
          <w:sz w:val="28"/>
          <w:szCs w:val="28"/>
        </w:rPr>
        <w:t>Employers must provide a safe working environment:</w:t>
      </w:r>
    </w:p>
    <w:p w14:paraId="1926BBED">
      <w:pPr>
        <w:numPr>
          <w:ilvl w:val="0"/>
          <w:numId w:val="9"/>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Proper safety equipment and training</w:t>
      </w:r>
    </w:p>
    <w:p w14:paraId="321AB5F3">
      <w:pPr>
        <w:numPr>
          <w:ilvl w:val="0"/>
          <w:numId w:val="9"/>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Clean and hygienic workplace</w:t>
      </w:r>
    </w:p>
    <w:p w14:paraId="5DA6D7BA">
      <w:pPr>
        <w:numPr>
          <w:ilvl w:val="0"/>
          <w:numId w:val="9"/>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Protection from workplace hazards</w:t>
      </w:r>
    </w:p>
    <w:p w14:paraId="60A8A02A">
      <w:pPr>
        <w:numPr>
          <w:ilvl w:val="0"/>
          <w:numId w:val="9"/>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Workers' compensation for injuries</w:t>
      </w:r>
    </w:p>
    <w:p w14:paraId="2361EC1B">
      <w:pPr>
        <w:pStyle w:val="4"/>
        <w:spacing w:before="480" w:beforeAutospacing="0" w:after="240" w:afterAutospacing="0"/>
        <w:rPr>
          <w:color w:val="1A2A4A"/>
          <w:sz w:val="28"/>
          <w:szCs w:val="28"/>
        </w:rPr>
      </w:pPr>
      <w:r>
        <w:rPr>
          <w:color w:val="1A2A4A"/>
          <w:sz w:val="28"/>
          <w:szCs w:val="28"/>
        </w:rPr>
        <w:t>4. Protection Against Unfair Dismissal</w:t>
      </w:r>
    </w:p>
    <w:p w14:paraId="2DB7CA03">
      <w:pPr>
        <w:pStyle w:val="12"/>
        <w:spacing w:before="0" w:beforeAutospacing="0" w:after="360" w:afterAutospacing="0"/>
        <w:rPr>
          <w:color w:val="2D3748"/>
          <w:sz w:val="28"/>
          <w:szCs w:val="28"/>
        </w:rPr>
      </w:pPr>
      <w:r>
        <w:rPr>
          <w:color w:val="2D3748"/>
          <w:sz w:val="28"/>
          <w:szCs w:val="28"/>
        </w:rPr>
        <w:t>Employees have protection against arbitrary termination.</w:t>
      </w:r>
    </w:p>
    <w:p w14:paraId="7F4B89C1">
      <w:pPr>
        <w:numPr>
          <w:ilvl w:val="0"/>
          <w:numId w:val="10"/>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Notice must be given before termination (except for gross misconduct)</w:t>
      </w:r>
    </w:p>
    <w:p w14:paraId="331483ED">
      <w:pPr>
        <w:numPr>
          <w:ilvl w:val="0"/>
          <w:numId w:val="10"/>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Reasons for dismissal should be valid and documented</w:t>
      </w:r>
    </w:p>
    <w:p w14:paraId="499046EF">
      <w:pPr>
        <w:numPr>
          <w:ilvl w:val="0"/>
          <w:numId w:val="10"/>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Payment in lieu of notice may be provided</w:t>
      </w:r>
    </w:p>
    <w:p w14:paraId="2A4D4B6F">
      <w:pPr>
        <w:numPr>
          <w:ilvl w:val="0"/>
          <w:numId w:val="10"/>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Redundancy payments may be required in certain circumstances</w:t>
      </w:r>
    </w:p>
    <w:p w14:paraId="4956242A">
      <w:pPr>
        <w:spacing w:after="120" w:line="240" w:lineRule="auto"/>
        <w:rPr>
          <w:rFonts w:ascii="Times New Roman" w:hAnsi="Times New Roman" w:cs="Times New Roman"/>
          <w:color w:val="2D3748"/>
          <w:sz w:val="28"/>
          <w:szCs w:val="28"/>
        </w:rPr>
      </w:pPr>
    </w:p>
    <w:p w14:paraId="7175FE64">
      <w:pPr>
        <w:spacing w:after="120" w:line="240" w:lineRule="auto"/>
        <w:rPr>
          <w:rFonts w:ascii="Times New Roman" w:hAnsi="Times New Roman" w:cs="Times New Roman"/>
          <w:color w:val="FF0000"/>
          <w:sz w:val="28"/>
          <w:szCs w:val="28"/>
        </w:rPr>
      </w:pPr>
      <w:r>
        <w:rPr>
          <w:rFonts w:ascii="Times New Roman" w:hAnsi="Times New Roman" w:cs="Times New Roman"/>
          <w:color w:val="FF0000"/>
          <w:sz w:val="28"/>
          <w:szCs w:val="28"/>
        </w:rPr>
        <w:t xml:space="preserve">When we say employees have protection against arbitrary termination, it is important that we we qualify this statement or place a caveat thereafter. We say so because the statement does not cover all categories of employees. It covers workers under the Labour Act but may not cover managerial staff, certain administrative and technical staff, professionals such as lawyers, accountants, and the likes who are under probation except their contract with the employer stipulates otherwise.  The point being made here is that what guides the contractual relationship for these sets of staff with their employer is the contract they entered with the respective employer. If the contract is not properly worded to protect their interests or they fail to take it to a lawyer for review before they sign, then they would have to face the consequence if worse comes to worse. </w:t>
      </w:r>
    </w:p>
    <w:p w14:paraId="014450BA">
      <w:pPr>
        <w:spacing w:after="120" w:line="240" w:lineRule="auto"/>
        <w:rPr>
          <w:rFonts w:ascii="Times New Roman" w:hAnsi="Times New Roman" w:cs="Times New Roman"/>
          <w:color w:val="2D3748"/>
          <w:sz w:val="28"/>
          <w:szCs w:val="28"/>
        </w:rPr>
      </w:pPr>
    </w:p>
    <w:p w14:paraId="517C68A1">
      <w:pPr>
        <w:pStyle w:val="3"/>
        <w:spacing w:before="720" w:beforeAutospacing="0" w:after="360" w:afterAutospacing="0"/>
        <w:rPr>
          <w:color w:val="1A2A4A"/>
          <w:sz w:val="28"/>
          <w:szCs w:val="28"/>
        </w:rPr>
      </w:pPr>
      <w:r>
        <w:rPr>
          <w:color w:val="1A2A4A"/>
          <w:sz w:val="28"/>
          <w:szCs w:val="28"/>
        </w:rPr>
        <w:t>Maternity and Paternity Rights</w:t>
      </w:r>
    </w:p>
    <w:p w14:paraId="6E947AC0">
      <w:pPr>
        <w:pStyle w:val="12"/>
        <w:spacing w:before="0" w:beforeAutospacing="0" w:after="360" w:afterAutospacing="0"/>
        <w:rPr>
          <w:color w:val="2D3748"/>
          <w:sz w:val="28"/>
          <w:szCs w:val="28"/>
        </w:rPr>
      </w:pPr>
      <w:r>
        <w:rPr>
          <w:color w:val="2D3748"/>
          <w:sz w:val="28"/>
          <w:szCs w:val="28"/>
        </w:rPr>
        <w:t>Female employees enjoy specific protections:</w:t>
      </w:r>
    </w:p>
    <w:p w14:paraId="29A72853">
      <w:pPr>
        <w:numPr>
          <w:ilvl w:val="0"/>
          <w:numId w:val="11"/>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At least 12 weeks of maternity leave</w:t>
      </w:r>
    </w:p>
    <w:p w14:paraId="658154F4">
      <w:pPr>
        <w:numPr>
          <w:ilvl w:val="0"/>
          <w:numId w:val="11"/>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Protection from dismissal during pregnancy or maternity leave</w:t>
      </w:r>
    </w:p>
    <w:p w14:paraId="1883D79F">
      <w:pPr>
        <w:numPr>
          <w:ilvl w:val="0"/>
          <w:numId w:val="11"/>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Right to return to the same or equivalent position.</w:t>
      </w:r>
    </w:p>
    <w:p w14:paraId="0179EC6C">
      <w:pPr>
        <w:spacing w:after="120" w:line="240" w:lineRule="auto"/>
        <w:rPr>
          <w:rFonts w:ascii="Times New Roman" w:hAnsi="Times New Roman" w:cs="Times New Roman"/>
          <w:color w:val="FF0000"/>
          <w:sz w:val="28"/>
          <w:szCs w:val="28"/>
        </w:rPr>
      </w:pPr>
      <w:r>
        <w:rPr>
          <w:rFonts w:ascii="Times New Roman" w:hAnsi="Times New Roman" w:cs="Times New Roman"/>
          <w:color w:val="FF0000"/>
          <w:sz w:val="28"/>
          <w:szCs w:val="28"/>
        </w:rPr>
        <w:t>Please, note that paternity leave is not enshrined in our laws. It is not statutory. However, organizations may want to integrate same in their employment contract. It can also be added as part of a company’s policy as well as made a part of a collective agreement.</w:t>
      </w:r>
    </w:p>
    <w:p w14:paraId="029DFF3C">
      <w:pPr>
        <w:pStyle w:val="3"/>
        <w:spacing w:before="720" w:beforeAutospacing="0" w:after="360" w:afterAutospacing="0"/>
        <w:rPr>
          <w:color w:val="1A2A4A"/>
          <w:sz w:val="28"/>
          <w:szCs w:val="28"/>
        </w:rPr>
      </w:pPr>
      <w:r>
        <w:rPr>
          <w:color w:val="1A2A4A"/>
          <w:sz w:val="28"/>
          <w:szCs w:val="28"/>
        </w:rPr>
        <w:t>Remedies for Violation of Rights</w:t>
      </w:r>
    </w:p>
    <w:p w14:paraId="48BCA5F4">
      <w:pPr>
        <w:pStyle w:val="12"/>
        <w:spacing w:before="0" w:beforeAutospacing="0" w:after="360" w:afterAutospacing="0"/>
        <w:rPr>
          <w:color w:val="2D3748"/>
          <w:sz w:val="28"/>
          <w:szCs w:val="28"/>
        </w:rPr>
      </w:pPr>
      <w:r>
        <w:rPr>
          <w:color w:val="2D3748"/>
          <w:sz w:val="28"/>
          <w:szCs w:val="28"/>
        </w:rPr>
        <w:t>If your employment rights are violated, you have several options:</w:t>
      </w:r>
    </w:p>
    <w:p w14:paraId="13CB1834">
      <w:pPr>
        <w:numPr>
          <w:ilvl w:val="0"/>
          <w:numId w:val="12"/>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Internal Grievance Procedures</w:t>
      </w:r>
      <w:r>
        <w:rPr>
          <w:rFonts w:ascii="Times New Roman" w:hAnsi="Times New Roman" w:cs="Times New Roman"/>
          <w:color w:val="2D3748"/>
          <w:sz w:val="28"/>
          <w:szCs w:val="28"/>
        </w:rPr>
        <w:t>: First attempt to resolve issues within the organization</w:t>
      </w:r>
    </w:p>
    <w:p w14:paraId="5B6AE91D">
      <w:pPr>
        <w:numPr>
          <w:ilvl w:val="0"/>
          <w:numId w:val="12"/>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Ministry of Labour</w:t>
      </w:r>
      <w:r>
        <w:rPr>
          <w:rFonts w:ascii="Times New Roman" w:hAnsi="Times New Roman" w:cs="Times New Roman"/>
          <w:color w:val="2D3748"/>
          <w:sz w:val="28"/>
          <w:szCs w:val="28"/>
        </w:rPr>
        <w:t>: File a complaint with the relevant ministry</w:t>
      </w:r>
    </w:p>
    <w:p w14:paraId="38FAE092">
      <w:pPr>
        <w:numPr>
          <w:ilvl w:val="0"/>
          <w:numId w:val="12"/>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National Industrial Court</w:t>
      </w:r>
      <w:r>
        <w:rPr>
          <w:rFonts w:ascii="Times New Roman" w:hAnsi="Times New Roman" w:cs="Times New Roman"/>
          <w:color w:val="2D3748"/>
          <w:sz w:val="28"/>
          <w:szCs w:val="28"/>
        </w:rPr>
        <w:t>: Pursue legal action for serious violations</w:t>
      </w:r>
    </w:p>
    <w:p w14:paraId="016C4B7E">
      <w:pPr>
        <w:numPr>
          <w:ilvl w:val="0"/>
          <w:numId w:val="12"/>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Labour Unions</w:t>
      </w:r>
      <w:r>
        <w:rPr>
          <w:rFonts w:ascii="Times New Roman" w:hAnsi="Times New Roman" w:cs="Times New Roman"/>
          <w:color w:val="2D3748"/>
          <w:sz w:val="28"/>
          <w:szCs w:val="28"/>
        </w:rPr>
        <w:t>: Seek support from your union if applicable</w:t>
      </w:r>
    </w:p>
    <w:p w14:paraId="22050940">
      <w:pPr>
        <w:pStyle w:val="3"/>
        <w:spacing w:before="720" w:beforeAutospacing="0" w:after="360" w:afterAutospacing="0"/>
        <w:rPr>
          <w:color w:val="1A2A4A"/>
          <w:sz w:val="28"/>
          <w:szCs w:val="28"/>
        </w:rPr>
      </w:pPr>
      <w:r>
        <w:rPr>
          <w:color w:val="1A2A4A"/>
          <w:sz w:val="28"/>
          <w:szCs w:val="28"/>
        </w:rPr>
        <w:t>How Brimany Attorneys Can Assist</w:t>
      </w:r>
    </w:p>
    <w:p w14:paraId="72555EAD">
      <w:pPr>
        <w:pStyle w:val="12"/>
        <w:spacing w:before="0" w:beforeAutospacing="0" w:after="360" w:afterAutospacing="0"/>
        <w:rPr>
          <w:color w:val="2D3748"/>
          <w:sz w:val="28"/>
          <w:szCs w:val="28"/>
        </w:rPr>
      </w:pPr>
      <w:r>
        <w:rPr>
          <w:color w:val="2D3748"/>
          <w:sz w:val="28"/>
          <w:szCs w:val="28"/>
        </w:rPr>
        <w:t>Our Labour &amp; Employment practice provides comprehensive services for both employees and employers:</w:t>
      </w:r>
    </w:p>
    <w:p w14:paraId="31DD9E26">
      <w:pPr>
        <w:numPr>
          <w:ilvl w:val="0"/>
          <w:numId w:val="13"/>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Employment contract review</w:t>
      </w:r>
    </w:p>
    <w:p w14:paraId="1A70A211">
      <w:pPr>
        <w:numPr>
          <w:ilvl w:val="0"/>
          <w:numId w:val="13"/>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Workplace dispute resolution</w:t>
      </w:r>
    </w:p>
    <w:p w14:paraId="5FA877AD">
      <w:pPr>
        <w:numPr>
          <w:ilvl w:val="0"/>
          <w:numId w:val="13"/>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Wrongful termination claims</w:t>
      </w:r>
    </w:p>
    <w:p w14:paraId="0AC67042">
      <w:pPr>
        <w:numPr>
          <w:ilvl w:val="0"/>
          <w:numId w:val="13"/>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Negotiation with employers</w:t>
      </w:r>
    </w:p>
    <w:p w14:paraId="1121B10A">
      <w:pPr>
        <w:numPr>
          <w:ilvl w:val="0"/>
          <w:numId w:val="13"/>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Representation before the National Industrial Court</w:t>
      </w:r>
    </w:p>
    <w:p w14:paraId="04DA8930">
      <w:pPr>
        <w:pStyle w:val="12"/>
        <w:spacing w:before="0" w:beforeAutospacing="0" w:after="360" w:afterAutospacing="0"/>
        <w:rPr>
          <w:color w:val="2D3748"/>
          <w:sz w:val="28"/>
          <w:szCs w:val="28"/>
        </w:rPr>
      </w:pPr>
      <w:r>
        <w:rPr>
          <w:color w:val="2D3748"/>
          <w:sz w:val="28"/>
          <w:szCs w:val="28"/>
        </w:rPr>
        <w:t>We believe in fair treatment for all workers while helping businesses maintain compliant employment practices.</w:t>
      </w:r>
    </w:p>
    <w:p w14:paraId="53445E6F">
      <w:pPr>
        <w:pStyle w:val="3"/>
        <w:spacing w:before="720" w:beforeAutospacing="0" w:after="360" w:afterAutospacing="0"/>
        <w:rPr>
          <w:color w:val="1A2A4A"/>
          <w:sz w:val="28"/>
          <w:szCs w:val="28"/>
        </w:rPr>
      </w:pPr>
      <w:r>
        <w:rPr>
          <w:color w:val="1A2A4A"/>
          <w:sz w:val="28"/>
          <w:szCs w:val="28"/>
        </w:rPr>
        <w:t>Conclusion</w:t>
      </w:r>
    </w:p>
    <w:p w14:paraId="74851408">
      <w:pPr>
        <w:pStyle w:val="12"/>
        <w:spacing w:before="0" w:beforeAutospacing="0" w:after="360" w:afterAutospacing="0"/>
        <w:rPr>
          <w:color w:val="2D3748"/>
          <w:sz w:val="28"/>
          <w:szCs w:val="28"/>
        </w:rPr>
      </w:pPr>
      <w:r>
        <w:rPr>
          <w:color w:val="2D3748"/>
          <w:sz w:val="28"/>
          <w:szCs w:val="28"/>
        </w:rPr>
        <w:t>Knowing your rights is the first step to protecting them. Nigerian labour law provides substantial protections for employees, but these protections only work when workers understand and exercise their rights.</w:t>
      </w:r>
    </w:p>
    <w:p w14:paraId="457AB7CA">
      <w:pPr>
        <w:pStyle w:val="12"/>
        <w:spacing w:before="0" w:beforeAutospacing="0" w:after="0" w:afterAutospacing="0"/>
        <w:rPr>
          <w:color w:val="2D3748"/>
          <w:sz w:val="28"/>
          <w:szCs w:val="28"/>
        </w:rPr>
      </w:pPr>
      <w:r>
        <w:rPr>
          <w:color w:val="2D3748"/>
          <w:sz w:val="28"/>
          <w:szCs w:val="28"/>
        </w:rPr>
        <w:t>If you're facing workplace issues or need guidance on employment matters, </w:t>
      </w:r>
      <w:r>
        <w:fldChar w:fldCharType="begin"/>
      </w:r>
      <w:r>
        <w:instrText xml:space="preserve"> HYPERLINK "https://wa.me/2348064842926" </w:instrText>
      </w:r>
      <w:r>
        <w:fldChar w:fldCharType="separate"/>
      </w:r>
      <w:r>
        <w:rPr>
          <w:rStyle w:val="11"/>
          <w:color w:val="C9A227"/>
          <w:sz w:val="28"/>
          <w:szCs w:val="28"/>
        </w:rPr>
        <w:t>reach out to our team</w:t>
      </w:r>
      <w:r>
        <w:rPr>
          <w:rStyle w:val="11"/>
          <w:color w:val="C9A227"/>
          <w:sz w:val="28"/>
          <w:szCs w:val="28"/>
        </w:rPr>
        <w:fldChar w:fldCharType="end"/>
      </w:r>
      <w:r>
        <w:rPr>
          <w:color w:val="2D3748"/>
          <w:sz w:val="28"/>
          <w:szCs w:val="28"/>
        </w:rPr>
        <w:t> for professional legal assistance.</w:t>
      </w:r>
    </w:p>
    <w:p w14:paraId="09AC810A">
      <w:pPr>
        <w:pStyle w:val="12"/>
        <w:rPr>
          <w:sz w:val="28"/>
          <w:szCs w:val="28"/>
        </w:rPr>
      </w:pPr>
    </w:p>
    <w:p w14:paraId="033231B6">
      <w:pPr>
        <w:pStyle w:val="12"/>
        <w:rPr>
          <w:sz w:val="28"/>
          <w:szCs w:val="28"/>
        </w:rPr>
      </w:pPr>
    </w:p>
    <w:p w14:paraId="092474BB">
      <w:pPr>
        <w:pStyle w:val="12"/>
        <w:rPr>
          <w:sz w:val="28"/>
          <w:szCs w:val="28"/>
        </w:rPr>
      </w:pPr>
    </w:p>
    <w:p w14:paraId="68A07F42">
      <w:pPr>
        <w:pStyle w:val="12"/>
        <w:rPr>
          <w:sz w:val="28"/>
          <w:szCs w:val="28"/>
        </w:rPr>
      </w:pPr>
    </w:p>
    <w:p w14:paraId="50E50636">
      <w:pPr>
        <w:pStyle w:val="12"/>
        <w:rPr>
          <w:sz w:val="28"/>
          <w:szCs w:val="28"/>
        </w:rPr>
      </w:pPr>
    </w:p>
    <w:p w14:paraId="41012E23">
      <w:pPr>
        <w:pStyle w:val="12"/>
        <w:rPr>
          <w:sz w:val="28"/>
          <w:szCs w:val="28"/>
        </w:rPr>
      </w:pPr>
    </w:p>
    <w:p w14:paraId="22049127">
      <w:pPr>
        <w:pStyle w:val="12"/>
        <w:rPr>
          <w:sz w:val="28"/>
          <w:szCs w:val="28"/>
        </w:rPr>
      </w:pPr>
    </w:p>
    <w:p w14:paraId="39FA2B62">
      <w:pPr>
        <w:pStyle w:val="12"/>
        <w:rPr>
          <w:sz w:val="28"/>
          <w:szCs w:val="28"/>
        </w:rPr>
      </w:pPr>
    </w:p>
    <w:p w14:paraId="0B525746">
      <w:pPr>
        <w:pStyle w:val="12"/>
        <w:rPr>
          <w:sz w:val="28"/>
          <w:szCs w:val="28"/>
        </w:rPr>
      </w:pPr>
    </w:p>
    <w:p w14:paraId="3290ECD2">
      <w:pPr>
        <w:pStyle w:val="12"/>
        <w:rPr>
          <w:sz w:val="28"/>
          <w:szCs w:val="28"/>
        </w:rPr>
      </w:pPr>
    </w:p>
    <w:p w14:paraId="543037CE">
      <w:pPr>
        <w:pStyle w:val="12"/>
        <w:rPr>
          <w:sz w:val="28"/>
          <w:szCs w:val="28"/>
        </w:rPr>
      </w:pPr>
    </w:p>
    <w:p w14:paraId="04941BBD">
      <w:pPr>
        <w:pStyle w:val="12"/>
        <w:rPr>
          <w:sz w:val="28"/>
          <w:szCs w:val="28"/>
        </w:rPr>
      </w:pPr>
    </w:p>
    <w:p w14:paraId="48F1146A">
      <w:pPr>
        <w:pStyle w:val="12"/>
        <w:rPr>
          <w:sz w:val="28"/>
          <w:szCs w:val="28"/>
        </w:rPr>
      </w:pPr>
    </w:p>
    <w:p w14:paraId="149B4BA5">
      <w:pPr>
        <w:pStyle w:val="12"/>
        <w:rPr>
          <w:sz w:val="28"/>
          <w:szCs w:val="28"/>
        </w:rPr>
      </w:pPr>
    </w:p>
    <w:p w14:paraId="73C2A7E1">
      <w:pPr>
        <w:pStyle w:val="12"/>
        <w:rPr>
          <w:sz w:val="28"/>
          <w:szCs w:val="28"/>
        </w:rPr>
      </w:pPr>
    </w:p>
    <w:p w14:paraId="7FEB763C">
      <w:pPr>
        <w:pStyle w:val="12"/>
        <w:rPr>
          <w:b/>
          <w:sz w:val="40"/>
          <w:szCs w:val="40"/>
        </w:rPr>
      </w:pPr>
      <w:r>
        <w:rPr>
          <w:b/>
          <w:sz w:val="40"/>
          <w:szCs w:val="40"/>
        </w:rPr>
        <w:t>Protecting Your Intellectual Property in Nigeria: Trademarks, Patents, and Copyrights</w:t>
      </w:r>
    </w:p>
    <w:p w14:paraId="7818616E">
      <w:pPr>
        <w:pStyle w:val="12"/>
        <w:spacing w:before="0" w:beforeAutospacing="0" w:after="360" w:afterAutospacing="0"/>
        <w:rPr>
          <w:color w:val="2D3748"/>
          <w:sz w:val="28"/>
          <w:szCs w:val="28"/>
        </w:rPr>
      </w:pPr>
      <w:r>
        <w:rPr>
          <w:color w:val="2D3748"/>
          <w:sz w:val="28"/>
          <w:szCs w:val="28"/>
        </w:rPr>
        <w:t>In today's knowledge-driven economy, intellectual property (IP) has become one of the most valuable assets a business can own. From your brand name and logo to your innovative products and creative works, protecting your IP is essential for maintaining competitive advantage.</w:t>
      </w:r>
    </w:p>
    <w:p w14:paraId="045EEFCD">
      <w:pPr>
        <w:pStyle w:val="3"/>
        <w:spacing w:before="720" w:beforeAutospacing="0" w:after="360" w:afterAutospacing="0"/>
        <w:rPr>
          <w:color w:val="1A2A4A"/>
          <w:sz w:val="28"/>
          <w:szCs w:val="28"/>
        </w:rPr>
      </w:pPr>
      <w:r>
        <w:rPr>
          <w:color w:val="1A2A4A"/>
          <w:sz w:val="28"/>
          <w:szCs w:val="28"/>
        </w:rPr>
        <w:t>Types of Intellectual Property in Nigeria</w:t>
      </w:r>
    </w:p>
    <w:p w14:paraId="74B36359">
      <w:pPr>
        <w:pStyle w:val="4"/>
        <w:spacing w:before="480" w:beforeAutospacing="0" w:after="240" w:afterAutospacing="0"/>
        <w:rPr>
          <w:color w:val="1A2A4A"/>
          <w:sz w:val="28"/>
          <w:szCs w:val="28"/>
        </w:rPr>
      </w:pPr>
      <w:r>
        <w:rPr>
          <w:color w:val="1A2A4A"/>
          <w:sz w:val="28"/>
          <w:szCs w:val="28"/>
        </w:rPr>
        <w:t>1. Trademarks</w:t>
      </w:r>
    </w:p>
    <w:p w14:paraId="79BECFAF">
      <w:pPr>
        <w:pStyle w:val="12"/>
        <w:spacing w:before="0" w:beforeAutospacing="0" w:after="360" w:afterAutospacing="0"/>
        <w:rPr>
          <w:color w:val="2D3748"/>
          <w:sz w:val="28"/>
          <w:szCs w:val="28"/>
        </w:rPr>
      </w:pPr>
      <w:r>
        <w:rPr>
          <w:color w:val="2D3748"/>
          <w:sz w:val="28"/>
          <w:szCs w:val="28"/>
        </w:rPr>
        <w:t>A trademark is a sign capable of distinguishing the goods or services of one enterprise from those of others. In Nigeria, trademarks are protected under the Trade Marks Act.</w:t>
      </w:r>
    </w:p>
    <w:p w14:paraId="72374850">
      <w:pPr>
        <w:pStyle w:val="12"/>
        <w:spacing w:before="0" w:beforeAutospacing="0" w:after="0" w:afterAutospacing="0"/>
        <w:rPr>
          <w:color w:val="2D3748"/>
          <w:sz w:val="28"/>
          <w:szCs w:val="28"/>
        </w:rPr>
      </w:pPr>
      <w:r>
        <w:rPr>
          <w:rStyle w:val="13"/>
          <w:color w:val="2D3748"/>
          <w:sz w:val="28"/>
          <w:szCs w:val="28"/>
        </w:rPr>
        <w:t>What can be trademarked?</w:t>
      </w:r>
    </w:p>
    <w:p w14:paraId="4A81F5CC">
      <w:pPr>
        <w:numPr>
          <w:ilvl w:val="0"/>
          <w:numId w:val="14"/>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Brand names</w:t>
      </w:r>
    </w:p>
    <w:p w14:paraId="6C280288">
      <w:pPr>
        <w:numPr>
          <w:ilvl w:val="0"/>
          <w:numId w:val="14"/>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Logos and symbols</w:t>
      </w:r>
    </w:p>
    <w:p w14:paraId="6F7921E4">
      <w:pPr>
        <w:numPr>
          <w:ilvl w:val="0"/>
          <w:numId w:val="14"/>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Slogans and taglines</w:t>
      </w:r>
    </w:p>
    <w:p w14:paraId="7CE33894">
      <w:pPr>
        <w:numPr>
          <w:ilvl w:val="0"/>
          <w:numId w:val="14"/>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Product packaging designs</w:t>
      </w:r>
    </w:p>
    <w:p w14:paraId="60C10D43">
      <w:pPr>
        <w:pStyle w:val="12"/>
        <w:spacing w:before="0" w:beforeAutospacing="0" w:after="0" w:afterAutospacing="0"/>
        <w:rPr>
          <w:color w:val="2D3748"/>
          <w:sz w:val="28"/>
          <w:szCs w:val="28"/>
        </w:rPr>
      </w:pPr>
      <w:r>
        <w:rPr>
          <w:rStyle w:val="13"/>
          <w:color w:val="2D3748"/>
          <w:sz w:val="28"/>
          <w:szCs w:val="28"/>
        </w:rPr>
        <w:t>Registration Process:</w:t>
      </w:r>
    </w:p>
    <w:p w14:paraId="11E93F37">
      <w:pPr>
        <w:numPr>
          <w:ilvl w:val="0"/>
          <w:numId w:val="15"/>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Conduct a trademark search at the Trademarks Registry</w:t>
      </w:r>
    </w:p>
    <w:p w14:paraId="1F547C42">
      <w:pPr>
        <w:numPr>
          <w:ilvl w:val="0"/>
          <w:numId w:val="15"/>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File an application with required documents</w:t>
      </w:r>
    </w:p>
    <w:p w14:paraId="5DA06478">
      <w:pPr>
        <w:numPr>
          <w:ilvl w:val="0"/>
          <w:numId w:val="15"/>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Examination by the Registrar</w:t>
      </w:r>
    </w:p>
    <w:p w14:paraId="11D34331">
      <w:pPr>
        <w:numPr>
          <w:ilvl w:val="0"/>
          <w:numId w:val="15"/>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Publication in the Trademark Journal</w:t>
      </w:r>
    </w:p>
    <w:p w14:paraId="1BA98385">
      <w:pPr>
        <w:numPr>
          <w:ilvl w:val="0"/>
          <w:numId w:val="15"/>
        </w:numPr>
        <w:spacing w:after="120" w:line="240" w:lineRule="auto"/>
        <w:ind w:left="0"/>
        <w:rPr>
          <w:rFonts w:ascii="Times New Roman" w:hAnsi="Times New Roman" w:cs="Times New Roman"/>
          <w:color w:val="FF0000"/>
          <w:sz w:val="28"/>
          <w:szCs w:val="28"/>
        </w:rPr>
      </w:pPr>
      <w:r>
        <w:rPr>
          <w:rFonts w:ascii="Times New Roman" w:hAnsi="Times New Roman" w:cs="Times New Roman"/>
          <w:color w:val="2D3748"/>
          <w:sz w:val="28"/>
          <w:szCs w:val="28"/>
        </w:rPr>
        <w:t xml:space="preserve">Registration certificate issued (valid for 7 years, </w:t>
      </w:r>
      <w:r>
        <w:rPr>
          <w:rFonts w:ascii="Times New Roman" w:hAnsi="Times New Roman" w:cs="Times New Roman"/>
          <w:color w:val="FF0000"/>
          <w:sz w:val="28"/>
          <w:szCs w:val="28"/>
        </w:rPr>
        <w:t>and renewable for consecutive periods of 14 years).</w:t>
      </w:r>
    </w:p>
    <w:p w14:paraId="1D841E6E">
      <w:pPr>
        <w:pStyle w:val="4"/>
        <w:spacing w:before="480" w:beforeAutospacing="0" w:after="240" w:afterAutospacing="0"/>
        <w:rPr>
          <w:color w:val="1A2A4A"/>
          <w:sz w:val="28"/>
          <w:szCs w:val="28"/>
        </w:rPr>
      </w:pPr>
      <w:r>
        <w:rPr>
          <w:color w:val="1A2A4A"/>
          <w:sz w:val="28"/>
          <w:szCs w:val="28"/>
        </w:rPr>
        <w:t>2. Patents</w:t>
      </w:r>
    </w:p>
    <w:p w14:paraId="69147725">
      <w:pPr>
        <w:pStyle w:val="12"/>
        <w:spacing w:before="0" w:beforeAutospacing="0" w:after="360" w:afterAutospacing="0"/>
        <w:rPr>
          <w:color w:val="2D3748"/>
          <w:sz w:val="28"/>
          <w:szCs w:val="28"/>
        </w:rPr>
      </w:pPr>
      <w:r>
        <w:rPr>
          <w:color w:val="2D3748"/>
          <w:sz w:val="28"/>
          <w:szCs w:val="28"/>
        </w:rPr>
        <w:t>Patents protect inventions and grant the inventor exclusive rights to make, use, and sell the invention for a limited period.</w:t>
      </w:r>
    </w:p>
    <w:p w14:paraId="3FE7D7C8">
      <w:pPr>
        <w:pStyle w:val="12"/>
        <w:spacing w:before="0" w:beforeAutospacing="0" w:after="0" w:afterAutospacing="0"/>
        <w:rPr>
          <w:color w:val="2D3748"/>
          <w:sz w:val="28"/>
          <w:szCs w:val="28"/>
        </w:rPr>
      </w:pPr>
      <w:r>
        <w:rPr>
          <w:rStyle w:val="13"/>
          <w:color w:val="2D3748"/>
          <w:sz w:val="28"/>
          <w:szCs w:val="28"/>
        </w:rPr>
        <w:t>Requirements for Patent Protection:</w:t>
      </w:r>
    </w:p>
    <w:p w14:paraId="4DA3B7DC">
      <w:pPr>
        <w:numPr>
          <w:ilvl w:val="0"/>
          <w:numId w:val="16"/>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The invention must be new (novelty)</w:t>
      </w:r>
    </w:p>
    <w:p w14:paraId="1AE0F6D1">
      <w:pPr>
        <w:numPr>
          <w:ilvl w:val="0"/>
          <w:numId w:val="16"/>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It must involve an inventive step</w:t>
      </w:r>
    </w:p>
    <w:p w14:paraId="6E6379DA">
      <w:pPr>
        <w:numPr>
          <w:ilvl w:val="0"/>
          <w:numId w:val="16"/>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It must be capable of industrial application</w:t>
      </w:r>
    </w:p>
    <w:p w14:paraId="3F8246CA">
      <w:pPr>
        <w:pStyle w:val="12"/>
        <w:spacing w:before="0" w:beforeAutospacing="0" w:after="0" w:afterAutospacing="0"/>
        <w:rPr>
          <w:color w:val="FF0000"/>
          <w:sz w:val="28"/>
          <w:szCs w:val="28"/>
        </w:rPr>
      </w:pPr>
      <w:r>
        <w:rPr>
          <w:rStyle w:val="13"/>
          <w:color w:val="2D3748"/>
          <w:sz w:val="28"/>
          <w:szCs w:val="28"/>
        </w:rPr>
        <w:t>Duration:</w:t>
      </w:r>
      <w:r>
        <w:rPr>
          <w:color w:val="2D3748"/>
          <w:sz w:val="28"/>
          <w:szCs w:val="28"/>
        </w:rPr>
        <w:t xml:space="preserve"> Patents in Nigeria are valid for 20 years from the filing date. </w:t>
      </w:r>
      <w:r>
        <w:rPr>
          <w:color w:val="FF0000"/>
          <w:sz w:val="28"/>
          <w:szCs w:val="28"/>
        </w:rPr>
        <w:t xml:space="preserve">This is not the same for designs, for instance under our Industrial Design laws. At the first instance, the right is held for five years. Afterwards, you can apply for another five years, and not more twice before the window period elapses. </w:t>
      </w:r>
    </w:p>
    <w:p w14:paraId="1D150E26">
      <w:pPr>
        <w:pStyle w:val="12"/>
        <w:spacing w:before="0" w:beforeAutospacing="0" w:after="0" w:afterAutospacing="0"/>
        <w:rPr>
          <w:color w:val="2D3748"/>
          <w:sz w:val="28"/>
          <w:szCs w:val="28"/>
        </w:rPr>
      </w:pPr>
    </w:p>
    <w:p w14:paraId="23A71C09">
      <w:pPr>
        <w:pStyle w:val="4"/>
        <w:spacing w:before="480" w:beforeAutospacing="0" w:after="240" w:afterAutospacing="0"/>
        <w:rPr>
          <w:color w:val="1A2A4A"/>
          <w:sz w:val="28"/>
          <w:szCs w:val="28"/>
        </w:rPr>
      </w:pPr>
      <w:r>
        <w:rPr>
          <w:color w:val="1A2A4A"/>
          <w:sz w:val="28"/>
          <w:szCs w:val="28"/>
        </w:rPr>
        <w:t>3. Copyrights</w:t>
      </w:r>
    </w:p>
    <w:p w14:paraId="1118E951">
      <w:pPr>
        <w:pStyle w:val="12"/>
        <w:spacing w:before="0" w:beforeAutospacing="0" w:after="360" w:afterAutospacing="0"/>
        <w:rPr>
          <w:color w:val="2D3748"/>
          <w:sz w:val="28"/>
          <w:szCs w:val="28"/>
        </w:rPr>
      </w:pPr>
      <w:r>
        <w:rPr>
          <w:color w:val="2D3748"/>
          <w:sz w:val="28"/>
          <w:szCs w:val="28"/>
        </w:rPr>
        <w:t>Copyright protects original literary, musical, artistic works, and other creative expressions. In Nigeria, copyright protection is automatic upon creation.</w:t>
      </w:r>
    </w:p>
    <w:p w14:paraId="578228F6">
      <w:pPr>
        <w:pStyle w:val="12"/>
        <w:spacing w:before="0" w:beforeAutospacing="0" w:after="0" w:afterAutospacing="0"/>
        <w:rPr>
          <w:color w:val="2D3748"/>
          <w:sz w:val="28"/>
          <w:szCs w:val="28"/>
        </w:rPr>
      </w:pPr>
      <w:r>
        <w:rPr>
          <w:rStyle w:val="13"/>
          <w:color w:val="2D3748"/>
          <w:sz w:val="28"/>
          <w:szCs w:val="28"/>
        </w:rPr>
        <w:t>Works Protected by Copyright:</w:t>
      </w:r>
    </w:p>
    <w:p w14:paraId="7014E3D8">
      <w:pPr>
        <w:numPr>
          <w:ilvl w:val="0"/>
          <w:numId w:val="17"/>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Literary works (books, articles, software)</w:t>
      </w:r>
    </w:p>
    <w:p w14:paraId="1859CF3A">
      <w:pPr>
        <w:numPr>
          <w:ilvl w:val="0"/>
          <w:numId w:val="17"/>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Musical compositions</w:t>
      </w:r>
    </w:p>
    <w:p w14:paraId="6D415A59">
      <w:pPr>
        <w:numPr>
          <w:ilvl w:val="0"/>
          <w:numId w:val="17"/>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Artistic works (paintings, photographs, sculptures)</w:t>
      </w:r>
    </w:p>
    <w:p w14:paraId="3C3CAEEB">
      <w:pPr>
        <w:numPr>
          <w:ilvl w:val="0"/>
          <w:numId w:val="17"/>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Films and sound recordings</w:t>
      </w:r>
    </w:p>
    <w:p w14:paraId="67F66656">
      <w:pPr>
        <w:pStyle w:val="12"/>
        <w:spacing w:before="0" w:beforeAutospacing="0" w:after="0" w:afterAutospacing="0"/>
        <w:rPr>
          <w:color w:val="2D3748"/>
          <w:sz w:val="28"/>
          <w:szCs w:val="28"/>
        </w:rPr>
      </w:pPr>
      <w:r>
        <w:rPr>
          <w:rStyle w:val="13"/>
          <w:color w:val="2D3748"/>
          <w:sz w:val="28"/>
          <w:szCs w:val="28"/>
        </w:rPr>
        <w:t>Benefits of Registration:</w:t>
      </w:r>
      <w:r>
        <w:rPr>
          <w:color w:val="2D3748"/>
          <w:sz w:val="28"/>
          <w:szCs w:val="28"/>
        </w:rPr>
        <w:t> While copyright is automatic, registering with the Nigerian Copyright Commission provides:</w:t>
      </w:r>
    </w:p>
    <w:p w14:paraId="208145CD">
      <w:pPr>
        <w:numPr>
          <w:ilvl w:val="0"/>
          <w:numId w:val="18"/>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Evidence of ownership</w:t>
      </w:r>
    </w:p>
    <w:p w14:paraId="585C739F">
      <w:pPr>
        <w:numPr>
          <w:ilvl w:val="0"/>
          <w:numId w:val="18"/>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Presumption of validity</w:t>
      </w:r>
    </w:p>
    <w:p w14:paraId="7A39002D">
      <w:pPr>
        <w:numPr>
          <w:ilvl w:val="0"/>
          <w:numId w:val="18"/>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Easier enforcement</w:t>
      </w:r>
    </w:p>
    <w:p w14:paraId="3E7346A8">
      <w:pPr>
        <w:pStyle w:val="3"/>
        <w:spacing w:before="720" w:beforeAutospacing="0" w:after="360" w:afterAutospacing="0"/>
        <w:rPr>
          <w:color w:val="1A2A4A"/>
          <w:sz w:val="28"/>
          <w:szCs w:val="28"/>
        </w:rPr>
      </w:pPr>
      <w:r>
        <w:rPr>
          <w:color w:val="1A2A4A"/>
          <w:sz w:val="28"/>
          <w:szCs w:val="28"/>
        </w:rPr>
        <w:t>Why IP Protection Matters</w:t>
      </w:r>
    </w:p>
    <w:p w14:paraId="3E302F40">
      <w:pPr>
        <w:pStyle w:val="12"/>
        <w:spacing w:before="0" w:beforeAutospacing="0" w:after="360" w:afterAutospacing="0"/>
        <w:rPr>
          <w:color w:val="2D3748"/>
          <w:sz w:val="28"/>
          <w:szCs w:val="28"/>
        </w:rPr>
      </w:pPr>
      <w:r>
        <w:rPr>
          <w:color w:val="2D3748"/>
          <w:sz w:val="28"/>
          <w:szCs w:val="28"/>
        </w:rPr>
        <w:t>Protecting your intellectual property offers several key advantages:</w:t>
      </w:r>
    </w:p>
    <w:p w14:paraId="6B74CBC0">
      <w:pPr>
        <w:numPr>
          <w:ilvl w:val="0"/>
          <w:numId w:val="19"/>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Exclusive Rights</w:t>
      </w:r>
      <w:r>
        <w:rPr>
          <w:rFonts w:ascii="Times New Roman" w:hAnsi="Times New Roman" w:cs="Times New Roman"/>
          <w:color w:val="2D3748"/>
          <w:sz w:val="28"/>
          <w:szCs w:val="28"/>
        </w:rPr>
        <w:t>: Legal monopoly over your creations</w:t>
      </w:r>
    </w:p>
    <w:p w14:paraId="3AE31182">
      <w:pPr>
        <w:numPr>
          <w:ilvl w:val="0"/>
          <w:numId w:val="19"/>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Revenue Generation</w:t>
      </w:r>
      <w:r>
        <w:rPr>
          <w:rFonts w:ascii="Times New Roman" w:hAnsi="Times New Roman" w:cs="Times New Roman"/>
          <w:color w:val="2D3748"/>
          <w:sz w:val="28"/>
          <w:szCs w:val="28"/>
        </w:rPr>
        <w:t>: Licensing and franchising opportunities</w:t>
      </w:r>
    </w:p>
    <w:p w14:paraId="168403C3">
      <w:pPr>
        <w:numPr>
          <w:ilvl w:val="0"/>
          <w:numId w:val="19"/>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Brand Value</w:t>
      </w:r>
      <w:r>
        <w:rPr>
          <w:rFonts w:ascii="Times New Roman" w:hAnsi="Times New Roman" w:cs="Times New Roman"/>
          <w:color w:val="2D3748"/>
          <w:sz w:val="28"/>
          <w:szCs w:val="28"/>
        </w:rPr>
        <w:t>: Building and protecting brand equity</w:t>
      </w:r>
    </w:p>
    <w:p w14:paraId="2619CBE7">
      <w:pPr>
        <w:numPr>
          <w:ilvl w:val="0"/>
          <w:numId w:val="19"/>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Competitive Edge</w:t>
      </w:r>
      <w:r>
        <w:rPr>
          <w:rFonts w:ascii="Times New Roman" w:hAnsi="Times New Roman" w:cs="Times New Roman"/>
          <w:color w:val="2D3748"/>
          <w:sz w:val="28"/>
          <w:szCs w:val="28"/>
        </w:rPr>
        <w:t>: Preventing imitation by competitors</w:t>
      </w:r>
    </w:p>
    <w:p w14:paraId="6A5ADF4C">
      <w:pPr>
        <w:numPr>
          <w:ilvl w:val="0"/>
          <w:numId w:val="19"/>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Investment Attraction</w:t>
      </w:r>
      <w:r>
        <w:rPr>
          <w:rFonts w:ascii="Times New Roman" w:hAnsi="Times New Roman" w:cs="Times New Roman"/>
          <w:color w:val="2D3748"/>
          <w:sz w:val="28"/>
          <w:szCs w:val="28"/>
        </w:rPr>
        <w:t>: IP assets can attract investors</w:t>
      </w:r>
    </w:p>
    <w:p w14:paraId="2CCA3291">
      <w:pPr>
        <w:pStyle w:val="3"/>
        <w:spacing w:before="720" w:beforeAutospacing="0" w:after="360" w:afterAutospacing="0"/>
        <w:rPr>
          <w:color w:val="1A2A4A"/>
          <w:sz w:val="28"/>
          <w:szCs w:val="28"/>
        </w:rPr>
      </w:pPr>
      <w:r>
        <w:rPr>
          <w:color w:val="1A2A4A"/>
          <w:sz w:val="28"/>
          <w:szCs w:val="28"/>
        </w:rPr>
        <w:t>Common IP Challenges in Nigeria</w:t>
      </w:r>
    </w:p>
    <w:p w14:paraId="5D65D7F4">
      <w:pPr>
        <w:pStyle w:val="12"/>
        <w:spacing w:before="0" w:beforeAutospacing="0" w:after="360" w:afterAutospacing="0"/>
        <w:rPr>
          <w:color w:val="2D3748"/>
          <w:sz w:val="28"/>
          <w:szCs w:val="28"/>
        </w:rPr>
      </w:pPr>
      <w:r>
        <w:rPr>
          <w:color w:val="2D3748"/>
          <w:sz w:val="28"/>
          <w:szCs w:val="28"/>
        </w:rPr>
        <w:t>Business owners often face challenges in protecting their IP:</w:t>
      </w:r>
    </w:p>
    <w:p w14:paraId="00523CCB">
      <w:pPr>
        <w:numPr>
          <w:ilvl w:val="0"/>
          <w:numId w:val="20"/>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Counterfeiting</w:t>
      </w:r>
      <w:r>
        <w:rPr>
          <w:rFonts w:ascii="Times New Roman" w:hAnsi="Times New Roman" w:cs="Times New Roman"/>
          <w:color w:val="2D3748"/>
          <w:sz w:val="28"/>
          <w:szCs w:val="28"/>
        </w:rPr>
        <w:t>: Fake products bearing authentic trademarks</w:t>
      </w:r>
    </w:p>
    <w:p w14:paraId="34FE5997">
      <w:pPr>
        <w:numPr>
          <w:ilvl w:val="0"/>
          <w:numId w:val="20"/>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Piracy</w:t>
      </w:r>
      <w:r>
        <w:rPr>
          <w:rFonts w:ascii="Times New Roman" w:hAnsi="Times New Roman" w:cs="Times New Roman"/>
          <w:color w:val="2D3748"/>
          <w:sz w:val="28"/>
          <w:szCs w:val="28"/>
        </w:rPr>
        <w:t>: Unauthorized copying of copyrighted works</w:t>
      </w:r>
    </w:p>
    <w:p w14:paraId="0D1180C2">
      <w:pPr>
        <w:numPr>
          <w:ilvl w:val="0"/>
          <w:numId w:val="20"/>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Infringement</w:t>
      </w:r>
      <w:r>
        <w:rPr>
          <w:rFonts w:ascii="Times New Roman" w:hAnsi="Times New Roman" w:cs="Times New Roman"/>
          <w:color w:val="2D3748"/>
          <w:sz w:val="28"/>
          <w:szCs w:val="28"/>
        </w:rPr>
        <w:t>: Unauthorized use of protected IP</w:t>
      </w:r>
    </w:p>
    <w:p w14:paraId="32667317">
      <w:pPr>
        <w:numPr>
          <w:ilvl w:val="0"/>
          <w:numId w:val="20"/>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Lack of Awareness</w:t>
      </w:r>
      <w:r>
        <w:rPr>
          <w:rFonts w:ascii="Times New Roman" w:hAnsi="Times New Roman" w:cs="Times New Roman"/>
          <w:color w:val="2D3748"/>
          <w:sz w:val="28"/>
          <w:szCs w:val="28"/>
        </w:rPr>
        <w:t>: Many businesses don't register their IP</w:t>
      </w:r>
    </w:p>
    <w:p w14:paraId="5AD4FB17">
      <w:pPr>
        <w:pStyle w:val="3"/>
        <w:spacing w:before="720" w:beforeAutospacing="0" w:after="360" w:afterAutospacing="0"/>
        <w:rPr>
          <w:color w:val="1A2A4A"/>
          <w:sz w:val="28"/>
          <w:szCs w:val="28"/>
        </w:rPr>
      </w:pPr>
      <w:r>
        <w:rPr>
          <w:color w:val="1A2A4A"/>
          <w:sz w:val="28"/>
          <w:szCs w:val="28"/>
        </w:rPr>
        <w:t>Enforcement of IP Rights</w:t>
      </w:r>
    </w:p>
    <w:p w14:paraId="6520C174">
      <w:pPr>
        <w:pStyle w:val="12"/>
        <w:spacing w:before="0" w:beforeAutospacing="0" w:after="360" w:afterAutospacing="0"/>
        <w:rPr>
          <w:color w:val="2D3748"/>
          <w:sz w:val="28"/>
          <w:szCs w:val="28"/>
        </w:rPr>
      </w:pPr>
      <w:r>
        <w:rPr>
          <w:color w:val="2D3748"/>
          <w:sz w:val="28"/>
          <w:szCs w:val="28"/>
        </w:rPr>
        <w:t>When your IP rights are infringed, you have several remedies:</w:t>
      </w:r>
    </w:p>
    <w:p w14:paraId="1875780E">
      <w:pPr>
        <w:pStyle w:val="4"/>
        <w:spacing w:before="480" w:beforeAutospacing="0" w:after="240" w:afterAutospacing="0"/>
        <w:rPr>
          <w:color w:val="1A2A4A"/>
          <w:sz w:val="28"/>
          <w:szCs w:val="28"/>
        </w:rPr>
      </w:pPr>
      <w:r>
        <w:rPr>
          <w:color w:val="1A2A4A"/>
          <w:sz w:val="28"/>
          <w:szCs w:val="28"/>
        </w:rPr>
        <w:t>Civil Remedies</w:t>
      </w:r>
    </w:p>
    <w:p w14:paraId="3485D5DC">
      <w:pPr>
        <w:numPr>
          <w:ilvl w:val="0"/>
          <w:numId w:val="21"/>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Injunctions to stop infringing activities</w:t>
      </w:r>
    </w:p>
    <w:p w14:paraId="5C0927A2">
      <w:pPr>
        <w:numPr>
          <w:ilvl w:val="0"/>
          <w:numId w:val="21"/>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Damages for losses suffered</w:t>
      </w:r>
    </w:p>
    <w:p w14:paraId="19F269AE">
      <w:pPr>
        <w:numPr>
          <w:ilvl w:val="0"/>
          <w:numId w:val="21"/>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Account of profits made by infringer</w:t>
      </w:r>
    </w:p>
    <w:p w14:paraId="4373A391">
      <w:pPr>
        <w:numPr>
          <w:ilvl w:val="0"/>
          <w:numId w:val="21"/>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Destruction of infringing goods</w:t>
      </w:r>
    </w:p>
    <w:p w14:paraId="29EF3CF2">
      <w:pPr>
        <w:pStyle w:val="4"/>
        <w:spacing w:before="480" w:beforeAutospacing="0" w:after="240" w:afterAutospacing="0"/>
        <w:rPr>
          <w:color w:val="1A2A4A"/>
          <w:sz w:val="28"/>
          <w:szCs w:val="28"/>
        </w:rPr>
      </w:pPr>
      <w:r>
        <w:rPr>
          <w:color w:val="1A2A4A"/>
          <w:sz w:val="28"/>
          <w:szCs w:val="28"/>
        </w:rPr>
        <w:t>Criminal Remedies</w:t>
      </w:r>
    </w:p>
    <w:p w14:paraId="33BCFCF4">
      <w:pPr>
        <w:numPr>
          <w:ilvl w:val="0"/>
          <w:numId w:val="22"/>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Prosecution of infringers</w:t>
      </w:r>
    </w:p>
    <w:p w14:paraId="02691892">
      <w:pPr>
        <w:numPr>
          <w:ilvl w:val="0"/>
          <w:numId w:val="22"/>
        </w:numPr>
        <w:spacing w:after="120" w:line="240" w:lineRule="auto"/>
        <w:ind w:left="0"/>
        <w:rPr>
          <w:rFonts w:ascii="Times New Roman" w:hAnsi="Times New Roman" w:cs="Times New Roman"/>
          <w:color w:val="2D3748"/>
          <w:sz w:val="28"/>
          <w:szCs w:val="28"/>
        </w:rPr>
      </w:pPr>
      <w:r>
        <w:rPr>
          <w:rFonts w:ascii="Times New Roman" w:hAnsi="Times New Roman" w:cs="Times New Roman"/>
          <w:color w:val="2D3748"/>
          <w:sz w:val="28"/>
          <w:szCs w:val="28"/>
        </w:rPr>
        <w:t>Fines and imprisonment for serious offenses</w:t>
      </w:r>
    </w:p>
    <w:p w14:paraId="3BC6EAD2">
      <w:pPr>
        <w:spacing w:after="120" w:line="240" w:lineRule="auto"/>
        <w:rPr>
          <w:rFonts w:ascii="Times New Roman" w:hAnsi="Times New Roman" w:cs="Times New Roman"/>
          <w:color w:val="2D3748"/>
          <w:sz w:val="28"/>
          <w:szCs w:val="28"/>
        </w:rPr>
      </w:pPr>
    </w:p>
    <w:p w14:paraId="3336692C">
      <w:pPr>
        <w:spacing w:after="120" w:line="240" w:lineRule="auto"/>
        <w:rPr>
          <w:rFonts w:ascii="Times New Roman" w:hAnsi="Times New Roman" w:cs="Times New Roman"/>
          <w:color w:val="FF0000"/>
          <w:sz w:val="28"/>
          <w:szCs w:val="28"/>
        </w:rPr>
      </w:pPr>
      <w:r>
        <w:rPr>
          <w:rFonts w:ascii="Times New Roman" w:hAnsi="Times New Roman" w:cs="Times New Roman"/>
          <w:color w:val="FF0000"/>
          <w:sz w:val="28"/>
          <w:szCs w:val="28"/>
        </w:rPr>
        <w:t xml:space="preserve">Many people don’t know but it will do a whole lot of good to a lot of people to say this— certain trademark violations can be criminal in nature. For example, by virtue of S.26 of the Trademark Act, if you use a registered trademark without authorization in relation to goods or services you can be charged for a criminal offence and if convicted imprisoned for up to 3 years, or you may be fined, or in certain cases you will be imprisoned and fined. The recent brouhaha in the social media space </w:t>
      </w:r>
      <w:r>
        <w:rPr>
          <w:rFonts w:ascii="Times New Roman" w:hAnsi="Times New Roman" w:cs="Times New Roman"/>
          <w:color w:val="FF0000"/>
          <w:sz w:val="28"/>
          <w:szCs w:val="28"/>
          <w:u w:val="single"/>
        </w:rPr>
        <w:t>between VeryDarkMan (VDM) and BLord over the latter’s use of the word “Ratel” as the name for his new app</w:t>
      </w:r>
      <w:r>
        <w:rPr>
          <w:rFonts w:ascii="Times New Roman" w:hAnsi="Times New Roman" w:cs="Times New Roman"/>
          <w:color w:val="FF0000"/>
          <w:sz w:val="28"/>
          <w:szCs w:val="28"/>
        </w:rPr>
        <w:t xml:space="preserve"> comes to mind. (HYPERLINK THE UNDERLINED ABOVE --- </w:t>
      </w:r>
      <w:r>
        <w:fldChar w:fldCharType="begin"/>
      </w:r>
      <w:r>
        <w:instrText xml:space="preserve"> HYPERLINK "https://punchng.com/drama-as-vdm-blord-lock-horns-over-ownership-of-ratel/" </w:instrText>
      </w:r>
      <w:r>
        <w:fldChar w:fldCharType="separate"/>
      </w:r>
      <w:r>
        <w:rPr>
          <w:rStyle w:val="11"/>
          <w:rFonts w:ascii="Times New Roman" w:hAnsi="Times New Roman" w:cs="Times New Roman"/>
          <w:sz w:val="28"/>
          <w:szCs w:val="28"/>
        </w:rPr>
        <w:t>https://punchng.com/drama-as-vdm-blord-lock-horns-over-ownership-of-ratel/</w:t>
      </w:r>
      <w:r>
        <w:rPr>
          <w:rStyle w:val="11"/>
          <w:rFonts w:ascii="Times New Roman" w:hAnsi="Times New Roman" w:cs="Times New Roman"/>
          <w:sz w:val="28"/>
          <w:szCs w:val="28"/>
        </w:rPr>
        <w:fldChar w:fldCharType="end"/>
      </w:r>
      <w:r>
        <w:rPr>
          <w:rFonts w:ascii="Times New Roman" w:hAnsi="Times New Roman" w:cs="Times New Roman"/>
          <w:color w:val="FF0000"/>
          <w:sz w:val="28"/>
          <w:szCs w:val="28"/>
        </w:rPr>
        <w:t xml:space="preserve">). I do not intend to go into the facts here neither do I intend to offer legal opinion on same but the essence of citing this example is to underscore the need for care and diligence when handling one’s business, and indeed the need to have a legal team as technical partners to avoid stories that touch. </w:t>
      </w:r>
    </w:p>
    <w:p w14:paraId="6538CA59">
      <w:pPr>
        <w:spacing w:after="120" w:line="240" w:lineRule="auto"/>
        <w:rPr>
          <w:rFonts w:ascii="Times New Roman" w:hAnsi="Times New Roman" w:cs="Times New Roman"/>
          <w:color w:val="FF0000"/>
          <w:sz w:val="28"/>
          <w:szCs w:val="28"/>
        </w:rPr>
      </w:pPr>
      <w:r>
        <w:rPr>
          <w:rFonts w:ascii="Times New Roman" w:hAnsi="Times New Roman" w:cs="Times New Roman"/>
          <w:color w:val="FF0000"/>
          <w:sz w:val="28"/>
          <w:szCs w:val="28"/>
        </w:rPr>
        <w:t>It is also a criminal offence to make or possess infringing copies of literary, musical or artistic works. Section 36 of the Copyright Act (Cap C28 LFN 2004) criminalizes this act and the punishment is imprisonment for 3 years or fine or both.</w:t>
      </w:r>
    </w:p>
    <w:p w14:paraId="3B856A34">
      <w:pPr>
        <w:pStyle w:val="3"/>
        <w:spacing w:before="720" w:beforeAutospacing="0" w:after="360" w:afterAutospacing="0"/>
        <w:rPr>
          <w:color w:val="1A2A4A"/>
          <w:sz w:val="28"/>
          <w:szCs w:val="28"/>
        </w:rPr>
      </w:pPr>
      <w:r>
        <w:rPr>
          <w:color w:val="1A2A4A"/>
          <w:sz w:val="28"/>
          <w:szCs w:val="28"/>
        </w:rPr>
        <w:t>How Brimany Attorneys Can Help</w:t>
      </w:r>
    </w:p>
    <w:p w14:paraId="6A8F48EC">
      <w:pPr>
        <w:pStyle w:val="12"/>
        <w:spacing w:before="0" w:beforeAutospacing="0" w:after="360" w:afterAutospacing="0"/>
        <w:rPr>
          <w:color w:val="2D3748"/>
          <w:sz w:val="28"/>
          <w:szCs w:val="28"/>
        </w:rPr>
      </w:pPr>
      <w:r>
        <w:rPr>
          <w:color w:val="2D3748"/>
          <w:sz w:val="28"/>
          <w:szCs w:val="28"/>
        </w:rPr>
        <w:t>Our Intellectual Property practice offers comprehensive services:</w:t>
      </w:r>
    </w:p>
    <w:p w14:paraId="7BF45998">
      <w:pPr>
        <w:numPr>
          <w:ilvl w:val="0"/>
          <w:numId w:val="23"/>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IP Audits</w:t>
      </w:r>
      <w:r>
        <w:rPr>
          <w:rFonts w:ascii="Times New Roman" w:hAnsi="Times New Roman" w:cs="Times New Roman"/>
          <w:color w:val="2D3748"/>
          <w:sz w:val="28"/>
          <w:szCs w:val="28"/>
        </w:rPr>
        <w:t>: Identifying and cataloging your IP assets</w:t>
      </w:r>
    </w:p>
    <w:p w14:paraId="0E7B4496">
      <w:pPr>
        <w:numPr>
          <w:ilvl w:val="0"/>
          <w:numId w:val="23"/>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Registration</w:t>
      </w:r>
      <w:r>
        <w:rPr>
          <w:rFonts w:ascii="Times New Roman" w:hAnsi="Times New Roman" w:cs="Times New Roman"/>
          <w:color w:val="2D3748"/>
          <w:sz w:val="28"/>
          <w:szCs w:val="28"/>
        </w:rPr>
        <w:t>: Trademark, patent, and copyright registration</w:t>
      </w:r>
    </w:p>
    <w:p w14:paraId="0AC960E0">
      <w:pPr>
        <w:numPr>
          <w:ilvl w:val="0"/>
          <w:numId w:val="23"/>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Licensing</w:t>
      </w:r>
      <w:r>
        <w:rPr>
          <w:rFonts w:ascii="Times New Roman" w:hAnsi="Times New Roman" w:cs="Times New Roman"/>
          <w:color w:val="2D3748"/>
          <w:sz w:val="28"/>
          <w:szCs w:val="28"/>
        </w:rPr>
        <w:t>: Drafting and negotiating IP licenses</w:t>
      </w:r>
    </w:p>
    <w:p w14:paraId="3441388B">
      <w:pPr>
        <w:numPr>
          <w:ilvl w:val="0"/>
          <w:numId w:val="23"/>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Enforcement</w:t>
      </w:r>
      <w:r>
        <w:rPr>
          <w:rFonts w:ascii="Times New Roman" w:hAnsi="Times New Roman" w:cs="Times New Roman"/>
          <w:color w:val="2D3748"/>
          <w:sz w:val="28"/>
          <w:szCs w:val="28"/>
        </w:rPr>
        <w:t>: Taking action against infringers</w:t>
      </w:r>
    </w:p>
    <w:p w14:paraId="11020BA1">
      <w:pPr>
        <w:numPr>
          <w:ilvl w:val="0"/>
          <w:numId w:val="23"/>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IP Strategy</w:t>
      </w:r>
      <w:r>
        <w:rPr>
          <w:rFonts w:ascii="Times New Roman" w:hAnsi="Times New Roman" w:cs="Times New Roman"/>
          <w:color w:val="2D3748"/>
          <w:sz w:val="28"/>
          <w:szCs w:val="28"/>
        </w:rPr>
        <w:t>: Developing comprehensive IP protection strategies</w:t>
      </w:r>
    </w:p>
    <w:p w14:paraId="32ECE2FE">
      <w:pPr>
        <w:pStyle w:val="3"/>
        <w:spacing w:before="720" w:beforeAutospacing="0" w:after="360" w:afterAutospacing="0"/>
        <w:rPr>
          <w:color w:val="1A2A4A"/>
          <w:sz w:val="28"/>
          <w:szCs w:val="28"/>
        </w:rPr>
      </w:pPr>
      <w:r>
        <w:rPr>
          <w:color w:val="1A2A4A"/>
          <w:sz w:val="28"/>
          <w:szCs w:val="28"/>
        </w:rPr>
        <w:t>Practical Tips for IP Protection</w:t>
      </w:r>
    </w:p>
    <w:p w14:paraId="3982E926">
      <w:pPr>
        <w:numPr>
          <w:ilvl w:val="0"/>
          <w:numId w:val="24"/>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Register Early</w:t>
      </w:r>
      <w:r>
        <w:rPr>
          <w:rFonts w:ascii="Times New Roman" w:hAnsi="Times New Roman" w:cs="Times New Roman"/>
          <w:color w:val="2D3748"/>
          <w:sz w:val="28"/>
          <w:szCs w:val="28"/>
        </w:rPr>
        <w:t>: Don't wait until you're established</w:t>
      </w:r>
    </w:p>
    <w:p w14:paraId="45CE9568">
      <w:pPr>
        <w:numPr>
          <w:ilvl w:val="0"/>
          <w:numId w:val="24"/>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Document Everything</w:t>
      </w:r>
      <w:r>
        <w:rPr>
          <w:rFonts w:ascii="Times New Roman" w:hAnsi="Times New Roman" w:cs="Times New Roman"/>
          <w:color w:val="2D3748"/>
          <w:sz w:val="28"/>
          <w:szCs w:val="28"/>
        </w:rPr>
        <w:t>: Keep records of creation dates and ownership</w:t>
      </w:r>
    </w:p>
    <w:p w14:paraId="2A1B1D61">
      <w:pPr>
        <w:numPr>
          <w:ilvl w:val="0"/>
          <w:numId w:val="24"/>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Monitor the Market</w:t>
      </w:r>
      <w:r>
        <w:rPr>
          <w:rFonts w:ascii="Times New Roman" w:hAnsi="Times New Roman" w:cs="Times New Roman"/>
          <w:color w:val="2D3748"/>
          <w:sz w:val="28"/>
          <w:szCs w:val="28"/>
        </w:rPr>
        <w:t>: Watch for potential infringements</w:t>
      </w:r>
    </w:p>
    <w:p w14:paraId="7A0B5451">
      <w:pPr>
        <w:numPr>
          <w:ilvl w:val="0"/>
          <w:numId w:val="24"/>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Use Proper Notices</w:t>
      </w:r>
      <w:r>
        <w:rPr>
          <w:rFonts w:ascii="Times New Roman" w:hAnsi="Times New Roman" w:cs="Times New Roman"/>
          <w:color w:val="2D3748"/>
          <w:sz w:val="28"/>
          <w:szCs w:val="28"/>
        </w:rPr>
        <w:t>: Mark your IP with appropriate symbols (™, ®, ©)</w:t>
      </w:r>
    </w:p>
    <w:p w14:paraId="72170B7E">
      <w:pPr>
        <w:numPr>
          <w:ilvl w:val="0"/>
          <w:numId w:val="24"/>
        </w:numPr>
        <w:spacing w:after="0" w:line="240" w:lineRule="auto"/>
        <w:ind w:left="0"/>
        <w:rPr>
          <w:rFonts w:ascii="Times New Roman" w:hAnsi="Times New Roman" w:cs="Times New Roman"/>
          <w:color w:val="2D3748"/>
          <w:sz w:val="28"/>
          <w:szCs w:val="28"/>
        </w:rPr>
      </w:pPr>
      <w:r>
        <w:rPr>
          <w:rStyle w:val="13"/>
          <w:rFonts w:ascii="Times New Roman" w:hAnsi="Times New Roman" w:cs="Times New Roman"/>
          <w:color w:val="2D3748"/>
          <w:sz w:val="28"/>
          <w:szCs w:val="28"/>
        </w:rPr>
        <w:t>Include IP Clauses</w:t>
      </w:r>
      <w:r>
        <w:rPr>
          <w:rFonts w:ascii="Times New Roman" w:hAnsi="Times New Roman" w:cs="Times New Roman"/>
          <w:color w:val="2D3748"/>
          <w:sz w:val="28"/>
          <w:szCs w:val="28"/>
        </w:rPr>
        <w:t>: In employment and contractor agreements</w:t>
      </w:r>
    </w:p>
    <w:p w14:paraId="29FB359B">
      <w:pPr>
        <w:pStyle w:val="3"/>
        <w:spacing w:before="720" w:beforeAutospacing="0" w:after="360" w:afterAutospacing="0"/>
        <w:rPr>
          <w:color w:val="1A2A4A"/>
          <w:sz w:val="28"/>
          <w:szCs w:val="28"/>
        </w:rPr>
      </w:pPr>
      <w:r>
        <w:rPr>
          <w:color w:val="1A2A4A"/>
          <w:sz w:val="28"/>
          <w:szCs w:val="28"/>
        </w:rPr>
        <w:t>Conclusion</w:t>
      </w:r>
    </w:p>
    <w:p w14:paraId="2EAC56AE">
      <w:pPr>
        <w:pStyle w:val="12"/>
        <w:spacing w:before="0" w:beforeAutospacing="0" w:after="360" w:afterAutospacing="0"/>
        <w:rPr>
          <w:color w:val="2D3748"/>
          <w:sz w:val="28"/>
          <w:szCs w:val="28"/>
        </w:rPr>
      </w:pPr>
      <w:r>
        <w:rPr>
          <w:color w:val="2D3748"/>
          <w:sz w:val="28"/>
          <w:szCs w:val="28"/>
        </w:rPr>
        <w:t>Your intellectual property represents significant investment in creativity, innovation, and brand building. Protecting these assets should be a priority for every business owner in Nigeria.</w:t>
      </w:r>
    </w:p>
    <w:p w14:paraId="3509A033">
      <w:pPr>
        <w:pStyle w:val="12"/>
        <w:spacing w:before="0" w:beforeAutospacing="0" w:after="0" w:afterAutospacing="0"/>
        <w:rPr>
          <w:color w:val="2D3748"/>
          <w:sz w:val="28"/>
          <w:szCs w:val="28"/>
        </w:rPr>
      </w:pPr>
      <w:r>
        <w:rPr>
          <w:color w:val="2D3748"/>
          <w:sz w:val="28"/>
          <w:szCs w:val="28"/>
        </w:rPr>
        <w:t>Don't leave your valuable IP unprotected. </w:t>
      </w:r>
      <w:r>
        <w:fldChar w:fldCharType="begin"/>
      </w:r>
      <w:r>
        <w:instrText xml:space="preserve"> HYPERLINK "https://brimanyattorneys.com/contact" </w:instrText>
      </w:r>
      <w:r>
        <w:fldChar w:fldCharType="separate"/>
      </w:r>
      <w:r>
        <w:rPr>
          <w:rStyle w:val="11"/>
          <w:color w:val="C9A227"/>
          <w:sz w:val="28"/>
          <w:szCs w:val="28"/>
        </w:rPr>
        <w:t>Contact Brimany Attorneys</w:t>
      </w:r>
      <w:r>
        <w:rPr>
          <w:rStyle w:val="11"/>
          <w:color w:val="C9A227"/>
          <w:sz w:val="28"/>
          <w:szCs w:val="28"/>
        </w:rPr>
        <w:fldChar w:fldCharType="end"/>
      </w:r>
      <w:r>
        <w:rPr>
          <w:color w:val="2D3748"/>
          <w:sz w:val="28"/>
          <w:szCs w:val="28"/>
        </w:rPr>
        <w:t> today to discuss how we can help safeguard your intellectual property.</w:t>
      </w:r>
    </w:p>
    <w:p w14:paraId="5EB593AD">
      <w:pPr>
        <w:pStyle w:val="12"/>
        <w:rPr>
          <w:sz w:val="28"/>
          <w:szCs w:val="28"/>
        </w:rPr>
      </w:pPr>
    </w:p>
    <w:sectPr>
      <w:footerReference r:id="rId5"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F7E74">
    <w:pPr>
      <w:pStyle w:val="9"/>
      <w:rPr>
        <w:rFonts w:hint="default"/>
        <w:lang w:val="en-US"/>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5B870E8">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45B870E8">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A11537"/>
    <w:multiLevelType w:val="multilevel"/>
    <w:tmpl w:val="10A115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13B950CE"/>
    <w:multiLevelType w:val="multilevel"/>
    <w:tmpl w:val="13B950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16074608"/>
    <w:multiLevelType w:val="multilevel"/>
    <w:tmpl w:val="1607460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4B01F59"/>
    <w:multiLevelType w:val="multilevel"/>
    <w:tmpl w:val="24B01F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27D148B5"/>
    <w:multiLevelType w:val="multilevel"/>
    <w:tmpl w:val="27D148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2F2425ED"/>
    <w:multiLevelType w:val="multilevel"/>
    <w:tmpl w:val="2F2425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2F4A6059"/>
    <w:multiLevelType w:val="multilevel"/>
    <w:tmpl w:val="2F4A60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376A17E5"/>
    <w:multiLevelType w:val="multilevel"/>
    <w:tmpl w:val="376A17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38902E2C"/>
    <w:multiLevelType w:val="multilevel"/>
    <w:tmpl w:val="38902E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390D668B"/>
    <w:multiLevelType w:val="multilevel"/>
    <w:tmpl w:val="390D66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
    <w:nsid w:val="39856A05"/>
    <w:multiLevelType w:val="multilevel"/>
    <w:tmpl w:val="39856A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
    <w:nsid w:val="3C357C2E"/>
    <w:multiLevelType w:val="multilevel"/>
    <w:tmpl w:val="3C357C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2">
    <w:nsid w:val="3C4B50B8"/>
    <w:multiLevelType w:val="multilevel"/>
    <w:tmpl w:val="3C4B50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3">
    <w:nsid w:val="3D3678E5"/>
    <w:multiLevelType w:val="multilevel"/>
    <w:tmpl w:val="3D3678E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452D1CED"/>
    <w:multiLevelType w:val="multilevel"/>
    <w:tmpl w:val="452D1C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5">
    <w:nsid w:val="47AE2C3A"/>
    <w:multiLevelType w:val="multilevel"/>
    <w:tmpl w:val="47AE2C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6">
    <w:nsid w:val="4BA7138A"/>
    <w:multiLevelType w:val="multilevel"/>
    <w:tmpl w:val="4BA713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7">
    <w:nsid w:val="5CDB00FE"/>
    <w:multiLevelType w:val="multilevel"/>
    <w:tmpl w:val="5CDB00F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69372760"/>
    <w:multiLevelType w:val="multilevel"/>
    <w:tmpl w:val="693727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9">
    <w:nsid w:val="6A77239A"/>
    <w:multiLevelType w:val="multilevel"/>
    <w:tmpl w:val="6A77239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6B961893"/>
    <w:multiLevelType w:val="multilevel"/>
    <w:tmpl w:val="6B96189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6F48613E"/>
    <w:multiLevelType w:val="multilevel"/>
    <w:tmpl w:val="6F4861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2">
    <w:nsid w:val="73677D7D"/>
    <w:multiLevelType w:val="multilevel"/>
    <w:tmpl w:val="73677D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3">
    <w:nsid w:val="7B7E6F80"/>
    <w:multiLevelType w:val="multilevel"/>
    <w:tmpl w:val="7B7E6F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0"/>
  </w:num>
  <w:num w:numId="2">
    <w:abstractNumId w:val="12"/>
  </w:num>
  <w:num w:numId="3">
    <w:abstractNumId w:val="8"/>
  </w:num>
  <w:num w:numId="4">
    <w:abstractNumId w:val="13"/>
  </w:num>
  <w:num w:numId="5">
    <w:abstractNumId w:val="7"/>
  </w:num>
  <w:num w:numId="6">
    <w:abstractNumId w:val="4"/>
  </w:num>
  <w:num w:numId="7">
    <w:abstractNumId w:val="23"/>
  </w:num>
  <w:num w:numId="8">
    <w:abstractNumId w:val="3"/>
  </w:num>
  <w:num w:numId="9">
    <w:abstractNumId w:val="1"/>
  </w:num>
  <w:num w:numId="10">
    <w:abstractNumId w:val="18"/>
  </w:num>
  <w:num w:numId="11">
    <w:abstractNumId w:val="16"/>
  </w:num>
  <w:num w:numId="12">
    <w:abstractNumId w:val="19"/>
  </w:num>
  <w:num w:numId="13">
    <w:abstractNumId w:val="5"/>
  </w:num>
  <w:num w:numId="14">
    <w:abstractNumId w:val="6"/>
  </w:num>
  <w:num w:numId="15">
    <w:abstractNumId w:val="2"/>
  </w:num>
  <w:num w:numId="16">
    <w:abstractNumId w:val="0"/>
  </w:num>
  <w:num w:numId="17">
    <w:abstractNumId w:val="14"/>
  </w:num>
  <w:num w:numId="18">
    <w:abstractNumId w:val="15"/>
  </w:num>
  <w:num w:numId="19">
    <w:abstractNumId w:val="17"/>
  </w:num>
  <w:num w:numId="20">
    <w:abstractNumId w:val="22"/>
  </w:num>
  <w:num w:numId="21">
    <w:abstractNumId w:val="9"/>
  </w:num>
  <w:num w:numId="22">
    <w:abstractNumId w:val="21"/>
  </w:num>
  <w:num w:numId="23">
    <w:abstractNumId w:val="11"/>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579"/>
    <w:rsid w:val="0002638C"/>
    <w:rsid w:val="000B655E"/>
    <w:rsid w:val="000D2955"/>
    <w:rsid w:val="000F04F1"/>
    <w:rsid w:val="00134A0F"/>
    <w:rsid w:val="00194172"/>
    <w:rsid w:val="0033541F"/>
    <w:rsid w:val="003530A7"/>
    <w:rsid w:val="00403A66"/>
    <w:rsid w:val="00445DCE"/>
    <w:rsid w:val="004F3E51"/>
    <w:rsid w:val="004F6B79"/>
    <w:rsid w:val="005007B0"/>
    <w:rsid w:val="005A64A0"/>
    <w:rsid w:val="005B7559"/>
    <w:rsid w:val="005C3592"/>
    <w:rsid w:val="005D67CE"/>
    <w:rsid w:val="00611A9F"/>
    <w:rsid w:val="006A79D2"/>
    <w:rsid w:val="006D0AD2"/>
    <w:rsid w:val="006F5B63"/>
    <w:rsid w:val="00701FAC"/>
    <w:rsid w:val="00716EB9"/>
    <w:rsid w:val="0075362D"/>
    <w:rsid w:val="00770DCD"/>
    <w:rsid w:val="007834EE"/>
    <w:rsid w:val="0081141F"/>
    <w:rsid w:val="008159BF"/>
    <w:rsid w:val="00895D7F"/>
    <w:rsid w:val="008B52AF"/>
    <w:rsid w:val="00905E76"/>
    <w:rsid w:val="009305B4"/>
    <w:rsid w:val="009E16B8"/>
    <w:rsid w:val="00A21090"/>
    <w:rsid w:val="00A83E00"/>
    <w:rsid w:val="00AA0A5A"/>
    <w:rsid w:val="00AE1071"/>
    <w:rsid w:val="00B849B1"/>
    <w:rsid w:val="00BC062F"/>
    <w:rsid w:val="00C17D33"/>
    <w:rsid w:val="00C66957"/>
    <w:rsid w:val="00C66A74"/>
    <w:rsid w:val="00CA4622"/>
    <w:rsid w:val="00CF5802"/>
    <w:rsid w:val="00D0247D"/>
    <w:rsid w:val="00D33F4C"/>
    <w:rsid w:val="00DC401B"/>
    <w:rsid w:val="00DE4614"/>
    <w:rsid w:val="00DF5864"/>
    <w:rsid w:val="00E20579"/>
    <w:rsid w:val="00EE7695"/>
    <w:rsid w:val="00F4778D"/>
    <w:rsid w:val="00FB6552"/>
    <w:rsid w:val="00FC6F40"/>
    <w:rsid w:val="7094700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19"/>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link w:val="16"/>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GB"/>
    </w:rPr>
  </w:style>
  <w:style w:type="paragraph" w:styleId="4">
    <w:name w:val="heading 3"/>
    <w:basedOn w:val="1"/>
    <w:link w:val="17"/>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GB"/>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FollowedHyperlink"/>
    <w:basedOn w:val="5"/>
    <w:semiHidden/>
    <w:unhideWhenUsed/>
    <w:uiPriority w:val="99"/>
    <w:rPr>
      <w:color w:val="954F72" w:themeColor="followedHyperlink"/>
      <w:u w:val="single"/>
      <w14:textFill>
        <w14:solidFill>
          <w14:schemeClr w14:val="folHlink"/>
        </w14:solidFill>
      </w14:textFill>
    </w:rPr>
  </w:style>
  <w:style w:type="paragraph" w:styleId="9">
    <w:name w:val="footer"/>
    <w:basedOn w:val="1"/>
    <w:link w:val="15"/>
    <w:unhideWhenUsed/>
    <w:uiPriority w:val="99"/>
    <w:pPr>
      <w:tabs>
        <w:tab w:val="center" w:pos="4513"/>
        <w:tab w:val="right" w:pos="9026"/>
      </w:tabs>
      <w:spacing w:after="0" w:line="240" w:lineRule="auto"/>
    </w:pPr>
  </w:style>
  <w:style w:type="paragraph" w:styleId="10">
    <w:name w:val="header"/>
    <w:basedOn w:val="1"/>
    <w:link w:val="14"/>
    <w:unhideWhenUsed/>
    <w:uiPriority w:val="99"/>
    <w:pPr>
      <w:tabs>
        <w:tab w:val="center" w:pos="4513"/>
        <w:tab w:val="right" w:pos="9026"/>
      </w:tabs>
      <w:spacing w:after="0" w:line="240" w:lineRule="auto"/>
    </w:pPr>
  </w:style>
  <w:style w:type="character" w:styleId="11">
    <w:name w:val="Hyperlink"/>
    <w:basedOn w:val="5"/>
    <w:unhideWhenUsed/>
    <w:uiPriority w:val="99"/>
    <w:rPr>
      <w:color w:val="0000FF"/>
      <w:u w:val="single"/>
    </w:rPr>
  </w:style>
  <w:style w:type="paragraph" w:styleId="12">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13">
    <w:name w:val="Strong"/>
    <w:basedOn w:val="5"/>
    <w:qFormat/>
    <w:uiPriority w:val="22"/>
    <w:rPr>
      <w:b/>
      <w:bCs/>
    </w:rPr>
  </w:style>
  <w:style w:type="character" w:customStyle="1" w:styleId="14">
    <w:name w:val="Header Char"/>
    <w:basedOn w:val="5"/>
    <w:link w:val="10"/>
    <w:uiPriority w:val="99"/>
  </w:style>
  <w:style w:type="character" w:customStyle="1" w:styleId="15">
    <w:name w:val="Footer Char"/>
    <w:basedOn w:val="5"/>
    <w:link w:val="9"/>
    <w:uiPriority w:val="99"/>
  </w:style>
  <w:style w:type="character" w:customStyle="1" w:styleId="16">
    <w:name w:val="Heading 2 Char"/>
    <w:basedOn w:val="5"/>
    <w:link w:val="3"/>
    <w:uiPriority w:val="9"/>
    <w:rPr>
      <w:rFonts w:ascii="Times New Roman" w:hAnsi="Times New Roman" w:eastAsia="Times New Roman" w:cs="Times New Roman"/>
      <w:b/>
      <w:bCs/>
      <w:sz w:val="36"/>
      <w:szCs w:val="36"/>
      <w:lang w:eastAsia="en-GB"/>
    </w:rPr>
  </w:style>
  <w:style w:type="character" w:customStyle="1" w:styleId="17">
    <w:name w:val="Heading 3 Char"/>
    <w:basedOn w:val="5"/>
    <w:link w:val="4"/>
    <w:uiPriority w:val="9"/>
    <w:rPr>
      <w:rFonts w:ascii="Times New Roman" w:hAnsi="Times New Roman" w:eastAsia="Times New Roman" w:cs="Times New Roman"/>
      <w:b/>
      <w:bCs/>
      <w:sz w:val="27"/>
      <w:szCs w:val="27"/>
      <w:lang w:eastAsia="en-GB"/>
    </w:rPr>
  </w:style>
  <w:style w:type="paragraph" w:styleId="18">
    <w:name w:val="List Paragraph"/>
    <w:basedOn w:val="1"/>
    <w:qFormat/>
    <w:uiPriority w:val="34"/>
    <w:pPr>
      <w:ind w:left="720"/>
      <w:contextualSpacing/>
    </w:pPr>
  </w:style>
  <w:style w:type="character" w:customStyle="1" w:styleId="19">
    <w:name w:val="Heading 1 Char"/>
    <w:basedOn w:val="5"/>
    <w:link w:val="2"/>
    <w:uiPriority w:val="9"/>
    <w:rPr>
      <w:rFonts w:asciiTheme="majorHAnsi" w:hAnsiTheme="majorHAnsi" w:eastAsiaTheme="majorEastAsia" w:cstheme="majorBidi"/>
      <w:color w:val="2E75B6" w:themeColor="accent1" w:themeShade="BF"/>
      <w:sz w:val="32"/>
      <w:szCs w:val="32"/>
    </w:rPr>
  </w:style>
  <w:style w:type="paragraph" w:customStyle="1" w:styleId="20">
    <w:name w:val="HTML Top of Form"/>
    <w:basedOn w:val="1"/>
    <w:next w:val="1"/>
    <w:link w:val="21"/>
    <w:semiHidden/>
    <w:unhideWhenUsed/>
    <w:uiPriority w:val="99"/>
    <w:pPr>
      <w:pBdr>
        <w:bottom w:val="single" w:color="auto" w:sz="6" w:space="1"/>
      </w:pBdr>
      <w:spacing w:after="0" w:line="240" w:lineRule="auto"/>
      <w:jc w:val="center"/>
    </w:pPr>
    <w:rPr>
      <w:rFonts w:ascii="Arial" w:hAnsi="Arial" w:eastAsia="Times New Roman" w:cs="Arial"/>
      <w:vanish/>
      <w:sz w:val="16"/>
      <w:szCs w:val="16"/>
      <w:lang w:eastAsia="en-GB"/>
    </w:rPr>
  </w:style>
  <w:style w:type="character" w:customStyle="1" w:styleId="21">
    <w:name w:val="z-Top of Form Char"/>
    <w:basedOn w:val="5"/>
    <w:link w:val="20"/>
    <w:semiHidden/>
    <w:uiPriority w:val="99"/>
    <w:rPr>
      <w:rFonts w:ascii="Arial" w:hAnsi="Arial" w:eastAsia="Times New Roman" w:cs="Arial"/>
      <w:vanish/>
      <w:sz w:val="16"/>
      <w:szCs w:val="16"/>
      <w:lang w:eastAsia="en-GB"/>
    </w:rPr>
  </w:style>
  <w:style w:type="paragraph" w:customStyle="1" w:styleId="22">
    <w:name w:val="HTML Bottom of Form"/>
    <w:basedOn w:val="1"/>
    <w:next w:val="1"/>
    <w:link w:val="23"/>
    <w:semiHidden/>
    <w:unhideWhenUsed/>
    <w:uiPriority w:val="99"/>
    <w:pPr>
      <w:pBdr>
        <w:top w:val="single" w:color="auto" w:sz="6" w:space="1"/>
      </w:pBdr>
      <w:spacing w:after="0" w:line="240" w:lineRule="auto"/>
      <w:jc w:val="center"/>
    </w:pPr>
    <w:rPr>
      <w:rFonts w:ascii="Arial" w:hAnsi="Arial" w:eastAsia="Times New Roman" w:cs="Arial"/>
      <w:vanish/>
      <w:sz w:val="16"/>
      <w:szCs w:val="16"/>
      <w:lang w:eastAsia="en-GB"/>
    </w:rPr>
  </w:style>
  <w:style w:type="character" w:customStyle="1" w:styleId="23">
    <w:name w:val="z-Bottom of Form Char"/>
    <w:basedOn w:val="5"/>
    <w:link w:val="22"/>
    <w:semiHidden/>
    <w:uiPriority w:val="99"/>
    <w:rPr>
      <w:rFonts w:ascii="Arial" w:hAnsi="Arial" w:eastAsia="Times New Roman" w:cs="Arial"/>
      <w:vanish/>
      <w:sz w:val="16"/>
      <w:szCs w:val="16"/>
      <w:lang w:eastAsia="en-GB"/>
    </w:rPr>
  </w:style>
  <w:style w:type="character" w:customStyle="1" w:styleId="24">
    <w:name w:val="vkekvd"/>
    <w:basedOn w:val="5"/>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2579</Words>
  <Characters>14701</Characters>
  <Lines>122</Lines>
  <Paragraphs>34</Paragraphs>
  <TotalTime>187</TotalTime>
  <ScaleCrop>false</ScaleCrop>
  <LinksUpToDate>false</LinksUpToDate>
  <CharactersWithSpaces>17246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2026-01-28T10:57:00Z</dcterms:created>
  <dc:creator>ADMIN</dc:creator>
  <cp:lastModifiedBy>HP 830 G8</cp:lastModifiedBy>
  <dcterms:modified xsi:type="dcterms:W3CDTF">2026-01-29T11:30:08Z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FD11E59C27284CD98298B3DFE1E0A238_12</vt:lpwstr>
  </property>
</Properties>
</file>