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" w:after="300"/>
        <w:jc w:val="center"/>
      </w:pPr>
      <w:r>
        <w:rPr>
          <w:rFonts w:ascii="Microsoft YaHei" w:hAnsi="Microsoft YaHei" w:eastAsia="Microsoft YaHei"/>
          <w:b/>
          <w:color w:val="000000"/>
          <w:sz w:val="40"/>
        </w:rPr>
        <w:t>智析 Data Agent 初赛报告写作框架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收件人：</w:t>
      </w:r>
      <w:r>
        <w:rPr>
          <w:rFonts w:ascii="Microsoft YaHei" w:hAnsi="Microsoft YaHei" w:eastAsia="Microsoft YaHei"/>
          <w:b w:val="0"/>
          <w:color w:val="000000"/>
          <w:sz w:val="21"/>
        </w:rPr>
        <w:t>报告主笔及负责提供素材的四位成员。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用途：</w:t>
      </w:r>
      <w:r>
        <w:rPr>
          <w:rFonts w:ascii="Microsoft YaHei" w:hAnsi="Microsoft YaHei" w:eastAsia="Microsoft YaHei"/>
          <w:b w:val="0"/>
          <w:color w:val="000000"/>
          <w:sz w:val="21"/>
        </w:rPr>
        <w:t>请按本框架扩写 S1 方案概要与 S2 详细解决方案，并从同一内容提炼 PPT、演示视频和企业专项材料。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提交原则：</w:t>
      </w:r>
      <w:r>
        <w:rPr>
          <w:rFonts w:ascii="Microsoft YaHei" w:hAnsi="Microsoft YaHei" w:eastAsia="Microsoft YaHei"/>
          <w:b w:val="0"/>
          <w:color w:val="000000"/>
          <w:sz w:val="21"/>
        </w:rPr>
        <w:t>角色与贡献写真实；功能状态以代码、实机截图和验收记录为准；图像生成仅用于概念示意，不能冒充系统运行截图。</w:t>
      </w:r>
    </w:p>
    <w:p>
      <w:pPr>
        <w:pStyle w:val="Heading1"/>
        <w:keepNext/>
        <w:spacing w:before="240" w:after="120" w:line="276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一 团队角色与责任人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下表是根据现有五人分工确定的报告角色安排。请把方括号替换为报名表中的姓名与学号，并在定稿前核对实际贡献。组长同时负责系统开发和总体协调，因此建议兼任项目经理与技术经理。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1417"/>
            <w:vAlign w:val="center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成员</w:t>
            </w:r>
          </w:p>
        </w:tc>
        <w:tc>
          <w:tcPr>
            <w:tcW w:type="dxa" w:w="2041"/>
            <w:vAlign w:val="center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报告中的角色</w:t>
            </w:r>
          </w:p>
        </w:tc>
        <w:tc>
          <w:tcPr>
            <w:tcW w:type="dxa" w:w="2494"/>
            <w:vAlign w:val="center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实际责任</w:t>
            </w:r>
          </w:p>
        </w:tc>
        <w:tc>
          <w:tcPr>
            <w:tcW w:type="dxa" w:w="3175"/>
            <w:vAlign w:val="center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交付给主笔的内容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组长［姓名 学号］</w:t>
            </w:r>
          </w:p>
        </w:tc>
        <w:tc>
          <w:tcPr>
            <w:tcW w:type="dxa" w:w="204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项目经理兼技术经理</w:t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进度与版本决策；系统研发；技术路线和真实功能验收</w:t>
            </w:r>
          </w:p>
        </w:tc>
        <w:tc>
          <w:tcPr>
            <w:tcW w:type="dxa" w:w="317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项目定位、S2B 过程记录、S2C 架构与技术事实、演示账号及截图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成员二［姓名 学号］</w:t>
            </w:r>
          </w:p>
        </w:tc>
        <w:tc>
          <w:tcPr>
            <w:tcW w:type="dxa" w:w="204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客户关系与商业分析负责人；报告主笔</w:t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形成 S1、S2 和企业专项文档；统一术语与图文</w:t>
            </w:r>
          </w:p>
        </w:tc>
        <w:tc>
          <w:tcPr>
            <w:tcW w:type="dxa" w:w="317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报告正文、S2A 用户价值、S2D 成本可行性与汇总稿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成员三［姓名 学号］</w:t>
            </w:r>
          </w:p>
        </w:tc>
        <w:tc>
          <w:tcPr>
            <w:tcW w:type="dxa" w:w="204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产品表达与 PPT 内容负责人</w:t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十分钟叙事、逐页讲稿、核心价值和产品流程</w:t>
            </w:r>
          </w:p>
        </w:tc>
        <w:tc>
          <w:tcPr>
            <w:tcW w:type="dxa" w:w="317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S3 文案、用户旅程、S5 个人过程记录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成员四［姓名 学号］</w:t>
            </w:r>
          </w:p>
        </w:tc>
        <w:tc>
          <w:tcPr>
            <w:tcW w:type="dxa" w:w="204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视觉呈现与 PPT 制作负责人</w:t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统一版式、架构图、产品截图排版与 PPT 成稿</w:t>
            </w:r>
          </w:p>
        </w:tc>
        <w:tc>
          <w:tcPr>
            <w:tcW w:type="dxa" w:w="317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正式 PPT、可复用图表及图源记录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成员五［姓名 学号］</w:t>
            </w:r>
          </w:p>
        </w:tc>
        <w:tc>
          <w:tcPr>
            <w:tcW w:type="dxa" w:w="204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演示与测试负责人</w:t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实机录屏、剪辑、字幕、演示复核与视频压缩</w:t>
            </w:r>
          </w:p>
        </w:tc>
        <w:tc>
          <w:tcPr>
            <w:tcW w:type="dxa" w:w="317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S4 演示视频、操作步骤、测试问题和 S5 过程记录</w:t>
            </w:r>
          </w:p>
        </w:tc>
      </w:tr>
    </w:tbl>
    <w:p>
      <w:pPr>
        <w:spacing w:after="40"/>
      </w:pPr>
    </w:p>
    <w:p>
      <w:pPr>
        <w:spacing w:before="0" w:after="120" w:line="324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责任划分：</w:t>
      </w:r>
      <w:r>
        <w:rPr>
          <w:rFonts w:ascii="Microsoft YaHei" w:hAnsi="Microsoft YaHei" w:eastAsia="Microsoft YaHei"/>
          <w:b w:val="0"/>
          <w:color w:val="000000"/>
          <w:sz w:val="21"/>
        </w:rPr>
        <w:t>S2A 由报告主笔牵头，S2B 由项目经理提供事实，S2C 由技术经理提供事实，S2D 由客户关系与商业分析负责人牵头。报告主笔负责文字整合，事实提供人负责核对。</w:t>
      </w:r>
    </w:p>
    <w:p>
      <w:pPr>
        <w:pStyle w:val="Heading1"/>
        <w:keepNext/>
        <w:spacing w:before="240" w:after="120" w:line="276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二 S1 方案概要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控制在 800 字以内，建议按四段写：企业数据底座已有数据却难以自助分析；智析采用业务语义加受控 Agent 工具链；展示自然语言提问、智能执行、表格图表和报告输出；说明多轮追问、证据追溯及企业价值。具体功能状态必须与最终演示版本一致。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主笔需向组长索取：</w:t>
      </w:r>
      <w:r>
        <w:rPr>
          <w:rFonts w:ascii="Microsoft YaHei" w:hAnsi="Microsoft YaHei" w:eastAsia="Microsoft YaHei"/>
          <w:b w:val="0"/>
          <w:color w:val="000000"/>
          <w:sz w:val="21"/>
        </w:rPr>
        <w:t>最终项目名称、演示版本功能清单、两组能稳定复现的分析案例、系统主页与结果页真实截图。</w:t>
      </w:r>
    </w:p>
    <w:p>
      <w:pPr>
        <w:pStyle w:val="Heading1"/>
        <w:keepNext/>
        <w:spacing w:before="240" w:after="120" w:line="276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三 S2 详细解决方案</w:t>
      </w:r>
    </w:p>
    <w:p>
      <w:pPr>
        <w:pStyle w:val="Heading2"/>
        <w:keepNext/>
        <w:spacing w:before="160" w:after="120" w:line="276" w:lineRule="auto"/>
      </w:pPr>
      <w:r>
        <w:rPr>
          <w:rFonts w:ascii="Microsoft YaHei" w:hAnsi="Microsoft YaHei" w:eastAsia="Microsoft YaHei"/>
          <w:b/>
          <w:color w:val="000000"/>
          <w:sz w:val="24"/>
        </w:rPr>
        <w:t>S2A 目标与服务模型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目标问题：业务人员不懂表名、字段、SQL 和指标公式，数据工程师人工响应慢，口径难统一。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目标客户与使用者：已有数据底座的制造企业；质量、生产、设备、库存、管理和数据管理员。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服务流程：接入只读数据源，扫描表与字段，确认业务语义，提出自然语言问题，Agent 选工具执行，返回结果并追问。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产品价值：缩短数据定位与分析准备时间，保留统一指标口径，让分析过程可复核。不要写未经测量的效率提升百分比。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配图建议：用户旅程图一张，实机的对话与结果截图两张。</w:t>
      </w:r>
    </w:p>
    <w:p>
      <w:pPr>
        <w:pStyle w:val="Heading2"/>
        <w:keepNext/>
        <w:spacing w:before="160" w:after="120" w:line="276" w:lineRule="auto"/>
      </w:pPr>
      <w:r>
        <w:rPr>
          <w:rFonts w:ascii="Microsoft YaHei" w:hAnsi="Microsoft YaHei" w:eastAsia="Microsoft YaHei"/>
          <w:b/>
          <w:color w:val="000000"/>
          <w:sz w:val="24"/>
        </w:rPr>
        <w:t>S2B 组织管理与业务分析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组织结构：使用第一节的五人角色表，写清项目经理、技术经理、客户关系与商业分析负责人、PPT 两位负责人和演示测试负责人。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过程管理：记录需求拆解、原型设计、数据准备、迭代开发、测试验收、文档制作和合稿；以 Git 提交、验收文件和会议记录作证据。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三天冲刺安排：第一天统一版本和报告框架，第二天冻结演示版并补齐素材，第三天合稿、录制、复核和上传。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风险与对策：模型不稳定、演示环境中断、数据口径不一致、图文状态不一致、视频体积超限；每项写责任人与备用方案。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配图建议：组织分工图、三天甘特图、系统迭代或测试记录截图。</w:t>
      </w:r>
    </w:p>
    <w:p>
      <w:pPr>
        <w:pStyle w:val="Heading2"/>
        <w:keepNext/>
        <w:spacing w:before="160" w:after="120" w:line="276" w:lineRule="auto"/>
      </w:pPr>
      <w:r>
        <w:rPr>
          <w:rFonts w:ascii="Microsoft YaHei" w:hAnsi="Microsoft YaHei" w:eastAsia="Microsoft YaHei"/>
          <w:b/>
          <w:color w:val="000000"/>
          <w:sz w:val="24"/>
        </w:rPr>
        <w:t>S2C 技术路线及实现方案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总体架构：交互层、Agent 编排层、业务语义层、查询分析层、数据治理层和平台基础层。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核心闭环：用户问题、意图与上下文、目录和语义绑定、工具选择、安全执行、结果验证、自然语言解释与继续追问。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数据与知识：表、字段、类型、说明、样例值、关系、业务对象、指标、规则和分析主题；强调面向未知表的扫描与人工确认映射。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执行与安全：展示生成 SQL 或脚本的路径；已实现的受控 SQL 与只读权限如实描述；尚未完成的代码沙箱和六类建模任务列为后续计划。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结果呈现：实机表格、图表、证据定位、报告；逐项标注已实现、开发中或规划，并写出验收证据。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配图建议：六层架构图、Agent 工具调用流程图、真实语义管理页、真实对话页、真实图表与查询依据页。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技术经理提供：</w:t>
      </w:r>
      <w:r>
        <w:rPr>
          <w:rFonts w:ascii="Microsoft YaHei" w:hAnsi="Microsoft YaHei" w:eastAsia="Microsoft YaHei"/>
          <w:b w:val="0"/>
          <w:color w:val="000000"/>
          <w:sz w:val="21"/>
        </w:rPr>
        <w:t>最终技术栈、工具清单、架构图校稿、数据表和指标清单、实机截图、关键测试结果及功能状态。</w:t>
      </w:r>
    </w:p>
    <w:p>
      <w:pPr>
        <w:pStyle w:val="Heading2"/>
        <w:keepNext/>
        <w:spacing w:before="160" w:after="120" w:line="276" w:lineRule="auto"/>
      </w:pPr>
      <w:r>
        <w:rPr>
          <w:rFonts w:ascii="Microsoft YaHei" w:hAnsi="Microsoft YaHei" w:eastAsia="Microsoft YaHei"/>
          <w:b/>
          <w:color w:val="000000"/>
          <w:sz w:val="24"/>
        </w:rPr>
        <w:t>S2D 成本模型及可行性分析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成本口径：按模型调用、应用服务器、数据库、对象存储、运维和客户实施列成本项；填入实际测算的单价、用量和区间。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交付模式：可讨论企业私有化部署与托管服务两种路径，明确数据留存、权限和运维责任。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技术可行性：用已运行的端到端流程、真实数据库接入、可复现样例和测试记录支撑。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商业可行性：说明目标客户场景、采购动机、试点方式和后续扩展，避免无依据市场规模或收入预测。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配图建议：成本测算表、部署模式对比图、试点路线图。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仍待填写：</w:t>
      </w:r>
      <w:r>
        <w:rPr>
          <w:rFonts w:ascii="Microsoft YaHei" w:hAnsi="Microsoft YaHei" w:eastAsia="Microsoft YaHei"/>
          <w:b w:val="0"/>
          <w:color w:val="000000"/>
          <w:sz w:val="21"/>
        </w:rPr>
        <w:t>模型 API 价格与估算用量、服务器规格、月度运行费用、实施周期和试点客户假设。所有数字标注日期、来源及假设。</w:t>
      </w:r>
    </w:p>
    <w:p>
      <w:r>
        <w:br w:type="page"/>
      </w:r>
    </w:p>
    <w:p>
      <w:pPr>
        <w:pStyle w:val="Heading1"/>
        <w:keepNext/>
        <w:spacing w:before="240" w:after="120" w:line="276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四 其他材料与报告主笔的交接清单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701"/>
            <w:vAlign w:val="center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4025"/>
            <w:vAlign w:val="center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报告主笔需准备或核对</w:t>
            </w:r>
          </w:p>
        </w:tc>
        <w:tc>
          <w:tcPr>
            <w:tcW w:type="dxa" w:w="3402"/>
            <w:vAlign w:val="center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素材来源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S3 项目简介 PPT</w:t>
            </w:r>
          </w:p>
        </w:tc>
        <w:tc>
          <w:tcPr>
            <w:tcW w:type="dxa" w:w="402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与报告一致的价值主张、核心方案、实机效果和十分钟讲述顺序</w:t>
            </w:r>
          </w:p>
        </w:tc>
        <w:tc>
          <w:tcPr>
            <w:tcW w:type="dxa" w:w="340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两位 PPT 负责人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S4A 可运行原型</w:t>
            </w:r>
          </w:p>
        </w:tc>
        <w:tc>
          <w:tcPr>
            <w:tcW w:type="dxa" w:w="402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登录方式、启动方式、样例数据和稳定演示流程</w:t>
            </w:r>
          </w:p>
        </w:tc>
        <w:tc>
          <w:tcPr>
            <w:tcW w:type="dxa" w:w="340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组长与演示负责人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S4B 演示视频</w:t>
            </w:r>
          </w:p>
        </w:tc>
        <w:tc>
          <w:tcPr>
            <w:tcW w:type="dxa" w:w="402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不超过十分钟，压缩后不超过 150MB；与最终版实机一致</w:t>
            </w:r>
          </w:p>
        </w:tc>
        <w:tc>
          <w:tcPr>
            <w:tcW w:type="dxa" w:w="340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演示负责人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S5 团队完成过程</w:t>
            </w:r>
          </w:p>
        </w:tc>
        <w:tc>
          <w:tcPr>
            <w:tcW w:type="dxa" w:w="402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不超过五分钟；写实记录角色、分工、排期、协作、测试与复盘</w:t>
            </w:r>
          </w:p>
        </w:tc>
        <w:tc>
          <w:tcPr>
            <w:tcW w:type="dxa" w:w="340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全员过程证据；PPT 内容负责人汇总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企业专项材料</w:t>
            </w:r>
          </w:p>
        </w:tc>
        <w:tc>
          <w:tcPr>
            <w:tcW w:type="dxa" w:w="402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产品使用手册、产品交互演示、分工与过程、业务知识说明、数据资源说明</w:t>
            </w:r>
          </w:p>
        </w:tc>
        <w:tc>
          <w:tcPr>
            <w:tcW w:type="dxa" w:w="340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主笔整合；组长和各责任人供事实</w:t>
            </w:r>
          </w:p>
        </w:tc>
      </w:tr>
    </w:tbl>
    <w:p>
      <w:pPr>
        <w:spacing w:after="40"/>
      </w:pPr>
    </w:p>
    <w:p>
      <w:pPr>
        <w:spacing w:before="0" w:after="120" w:line="324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图像标注：</w:t>
      </w:r>
      <w:r>
        <w:rPr>
          <w:rFonts w:ascii="Microsoft YaHei" w:hAnsi="Microsoft YaHei" w:eastAsia="Microsoft YaHei"/>
          <w:b w:val="0"/>
          <w:color w:val="000000"/>
          <w:sz w:val="21"/>
        </w:rPr>
        <w:t>实机截图写版本、页面、问题和结果；架构图写为设计示意；AI 生成图写为概念示意。报告中不把概念图当成已运行功能。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交稿前核对：</w:t>
      </w:r>
      <w:r>
        <w:rPr>
          <w:rFonts w:ascii="Microsoft YaHei" w:hAnsi="Microsoft YaHei" w:eastAsia="Microsoft YaHei"/>
          <w:b w:val="0"/>
          <w:color w:val="000000"/>
          <w:sz w:val="21"/>
        </w:rPr>
        <w:t>S1 字数、S2A 至 S2D 齐全、五人角色与报名信息一致、技术状态与演示一致、视频时长和体积合规、全部文件按官方方式命名。</w:t>
      </w:r>
    </w:p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