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240" w:line="240" w:lineRule="auto"/>
        <w:jc w:val="center"/>
      </w:pPr>
      <w:r>
        <w:rPr>
          <w:rFonts w:ascii="Microsoft YaHei" w:hAnsi="Microsoft YaHei" w:eastAsia="Microsoft YaHei"/>
          <w:b/>
          <w:color w:val="000000"/>
          <w:sz w:val="46"/>
        </w:rPr>
        <w:t>智析 Data Agent 初赛项目负责人工作稿</w:t>
      </w:r>
    </w:p>
    <w:p>
      <w:pPr>
        <w:spacing w:before="0" w:after="480" w:line="324" w:lineRule="auto"/>
        <w:jc w:val="center"/>
      </w:pPr>
      <w:r>
        <w:rPr>
          <w:rFonts w:ascii="Microsoft YaHei" w:hAnsi="Microsoft YaHei" w:eastAsia="Microsoft YaHei"/>
          <w:b w:val="0"/>
          <w:color w:val="505050"/>
          <w:sz w:val="24"/>
        </w:rPr>
        <w:t>统一项目口径  材料总框架  三天交付计划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  <w:cantSplit/>
        </w:trPr>
        <w:tc>
          <w:tcPr>
            <w:tcW w:type="dxa" w:w="1814"/>
            <w:vAlign w:val="center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087"/>
            <w:vAlign w:val="center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赛题</w:t>
            </w:r>
          </w:p>
        </w:tc>
        <w:tc>
          <w:tcPr>
            <w:tcW w:type="dxa" w:w="708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A07 企业数据底座智能问析 Agent 系统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项目名称</w:t>
            </w:r>
          </w:p>
        </w:tc>
        <w:tc>
          <w:tcPr>
            <w:tcW w:type="dxa" w:w="708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智析 企业数据底座智能问析 Agent 系统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负责人</w:t>
            </w:r>
          </w:p>
        </w:tc>
        <w:tc>
          <w:tcPr>
            <w:tcW w:type="dxa" w:w="708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待填写 姓名及学号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团队</w:t>
            </w:r>
          </w:p>
        </w:tc>
        <w:tc>
          <w:tcPr>
            <w:tcW w:type="dxa" w:w="708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共五人 成员顺序须与报名表一致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交付周期</w:t>
            </w:r>
          </w:p>
        </w:tc>
        <w:tc>
          <w:tcPr>
            <w:tcW w:type="dxa" w:w="708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三天初赛材料冲刺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最终截止时间</w:t>
            </w:r>
          </w:p>
        </w:tc>
        <w:tc>
          <w:tcPr>
            <w:tcW w:type="dxa" w:w="708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待填写</w:t>
            </w:r>
          </w:p>
        </w:tc>
      </w:tr>
    </w:tbl>
    <w:p>
      <w:pPr>
        <w:spacing w:after="40"/>
      </w:pP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本文档由项目负责人维护，用于统一系统完善、报告、PPT和视频的叙事口径。团队成员应以本稿确定的项目定位、功能状态、演示数据和术语为准，再分别完成自己的交付材料。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当前结论：</w:t>
      </w:r>
      <w:r>
        <w:rPr>
          <w:rFonts w:ascii="Microsoft YaHei" w:hAnsi="Microsoft YaHei" w:eastAsia="Microsoft YaHei"/>
          <w:b w:val="0"/>
          <w:color w:val="000000"/>
          <w:sz w:val="21"/>
        </w:rPr>
        <w:t>项目已经具备企业数据接入、业务语义、自然语言问析、多轮对话、安全查询、图表和证据追溯主链路。三天冲刺阶段不再追求功能数量，而应优先保证核心演示稳定、材料真实一致、重点优势清晰可见。</w:t>
      </w:r>
    </w:p>
    <w:p>
      <w:pPr>
        <w:pStyle w:val="Heading1"/>
        <w:keepNext/>
        <w:spacing w:before="240" w:after="120" w:line="276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一 项目统一定位</w:t>
      </w:r>
    </w:p>
    <w:p>
      <w:pPr>
        <w:pStyle w:val="Heading2"/>
        <w:keepNext/>
        <w:spacing w:before="160" w:after="120" w:line="276" w:lineRule="auto"/>
      </w:pPr>
      <w:r>
        <w:rPr>
          <w:rFonts w:ascii="Microsoft YaHei" w:hAnsi="Microsoft YaHei" w:eastAsia="Microsoft YaHei"/>
          <w:b/>
          <w:color w:val="000000"/>
          <w:sz w:val="24"/>
        </w:rPr>
        <w:t>一句话定位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智析 Data Agent 是面向企业数据底座的可信智能问析系统。它把企业数据表、字段、关系和指标口径组织为可执行的业务语义，由 Agent 根据用户自然语言问题选择合适的数据目录、查询、统计、图表和报告工具，形成从提问到可信结果再到持续追问的完整闭环。</w:t>
      </w:r>
    </w:p>
    <w:p>
      <w:pPr>
        <w:pStyle w:val="Heading2"/>
        <w:keepNext/>
        <w:spacing w:before="160" w:after="120" w:line="276" w:lineRule="auto"/>
      </w:pPr>
      <w:r>
        <w:rPr>
          <w:rFonts w:ascii="Microsoft YaHei" w:hAnsi="Microsoft YaHei" w:eastAsia="Microsoft YaHei"/>
          <w:b/>
          <w:color w:val="000000"/>
          <w:sz w:val="24"/>
        </w:rPr>
        <w:t>目标用户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质量人员：查询不良率、一次通过率、缺陷排行和质量趋势。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生产人员：分析产量、工序、产线和工单执行情况。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设备人员：分析停机、报警、运行效率及其与质量指标的关系。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管理人员：通过自然语言快速获得周报、月报和专题分析结果。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数据管理员：维护数据源、目录、字段画像、业务指标和语义映射。</w:t>
      </w:r>
    </w:p>
    <w:p>
      <w:pPr>
        <w:pStyle w:val="Heading2"/>
        <w:keepNext/>
        <w:spacing w:before="160" w:after="120" w:line="276" w:lineRule="auto"/>
      </w:pPr>
      <w:r>
        <w:rPr>
          <w:rFonts w:ascii="Microsoft YaHei" w:hAnsi="Microsoft YaHei" w:eastAsia="Microsoft YaHei"/>
          <w:b/>
          <w:color w:val="000000"/>
          <w:sz w:val="24"/>
        </w:rPr>
        <w:t>核心价值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传统流程需要业务人员提出需求，再由数据工程师定位数据、编写SQL、制作图表和解释结果。智析把重复过程沉淀为可复用的Agent工具链，降低业务人员使用企业数据底座的门槛，同时通过权限、安全验证和证据链控制大模型的不确定性。</w:t>
      </w:r>
    </w:p>
    <w:p>
      <w:pPr>
        <w:pStyle w:val="Heading1"/>
        <w:keepNext/>
        <w:spacing w:before="240" w:after="120" w:line="276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二 需要统一突出的项目优势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680"/>
            <w:vAlign w:val="center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154"/>
            <w:vAlign w:val="center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优势</w:t>
            </w:r>
          </w:p>
        </w:tc>
        <w:tc>
          <w:tcPr>
            <w:tcW w:type="dxa" w:w="6066"/>
            <w:vAlign w:val="center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统一表述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15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受控 Agent 闭环</w:t>
            </w:r>
          </w:p>
        </w:tc>
        <w:tc>
          <w:tcPr>
            <w:tcW w:type="dxa" w:w="606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系统不是只生成文字，而是完成理解、规划、选工具、执行、验证和呈现。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15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语义驱动而非裸 Text to SQL</w:t>
            </w:r>
          </w:p>
        </w:tc>
        <w:tc>
          <w:tcPr>
            <w:tcW w:type="dxa" w:w="606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模型负责理解表达，确定性语义模型负责指标公式、维度和SQL生成，减少口径漂移。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15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可信和可追溯</w:t>
            </w:r>
          </w:p>
        </w:tc>
        <w:tc>
          <w:tcPr>
            <w:tcW w:type="dxa" w:w="606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结果保留查询、产物、验证和Evidence引用，用户可以定位数字依据。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15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连续多轮交互</w:t>
            </w:r>
          </w:p>
        </w:tc>
        <w:tc>
          <w:tcPr>
            <w:tcW w:type="dxa" w:w="606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用户可以在同一会话追问、补充条件和切换主题，Agent使用自然语言澄清。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15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未知数据资源适配</w:t>
            </w:r>
          </w:p>
        </w:tc>
        <w:tc>
          <w:tcPr>
            <w:tcW w:type="dxa" w:w="606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系统先扫描表、字段、关系和画像，再由管理员确认物理字段与业务语义的映射。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215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企业级安全边界</w:t>
            </w:r>
          </w:p>
        </w:tc>
        <w:tc>
          <w:tcPr>
            <w:tcW w:type="dxa" w:w="606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工作空间隔离、角色权限、只读执行、SQL AST门禁、脱敏、审计和任务恢复共同约束执行。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215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可产品化交付</w:t>
            </w:r>
          </w:p>
        </w:tc>
        <w:tc>
          <w:tcPr>
            <w:tcW w:type="dxa" w:w="606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FastAPI、React、PostgreSQL、Redis、Celery和MinIO构成可容器部署的完整产品，而非单页演示。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20" w:line="276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三 初赛解决方案总框架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详细解决方案严格按照官方 S2A 至 S2D 组织。所有组员制作的报告、PPT和视频必须能够映射回以下四部分，避免技术内容很多但没有形成完整商业解决方案。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964"/>
            <w:vAlign w:val="center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部分</w:t>
            </w:r>
          </w:p>
        </w:tc>
        <w:tc>
          <w:tcPr>
            <w:tcW w:type="dxa" w:w="2268"/>
            <w:vAlign w:val="center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5669"/>
            <w:vAlign w:val="center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必须包含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S2A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目标与服务模型</w:t>
            </w:r>
          </w:p>
        </w:tc>
        <w:tc>
          <w:tcPr>
            <w:tcW w:type="dxa" w:w="566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问题背景、目标用户、服务流程、产品价值、典型场景和与传统方案的差异。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S2B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组织管理与业务分析</w:t>
            </w:r>
          </w:p>
        </w:tc>
        <w:tc>
          <w:tcPr>
            <w:tcW w:type="dxa" w:w="566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五人分工、研发流程、里程碑、质量管理、风险管理、目标客户和推广方式。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S2C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技术路线及实现方案</w:t>
            </w:r>
          </w:p>
        </w:tc>
        <w:tc>
          <w:tcPr>
            <w:tcW w:type="dxa" w:w="566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数据接入、元数据、语义模型、Agent、工具调用、安全查询、多轮交互、图表报告、权限审计和部署。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S2D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成本模型及可行性</w:t>
            </w:r>
          </w:p>
        </w:tc>
        <w:tc>
          <w:tcPr>
            <w:tcW w:type="dxa" w:w="566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模型API、服务器、数据库、对象存储和运维成本；私有化与SaaS模式；技术与商业可行性。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20" w:line="276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四 当前系统状态和表述边界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  <w:cantSplit/>
        </w:trPr>
        <w:tc>
          <w:tcPr>
            <w:tcW w:type="dxa" w:w="2268"/>
            <w:vAlign w:val="center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6633"/>
            <w:vAlign w:val="center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统一口径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可以写成已实现</w:t>
            </w:r>
          </w:p>
        </w:tc>
        <w:tc>
          <w:tcPr>
            <w:tcW w:type="dxa" w:w="663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登录与工作空间、成员权限、PostgreSQL和MySQL安全接入、元数据目录与画像、制造质量语义指标、安全查询、DeepSeek Agent、多轮对话、自然澄清、SSE恢复、表格图表和Evidence。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已完成后端核心 仍需前端收口</w:t>
            </w:r>
          </w:p>
        </w:tc>
        <w:tc>
          <w:tcPr>
            <w:tcW w:type="dxa" w:w="663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可信报告持久化、编排、创建API、异步生成Markdown HTML PDF和MinIO发布。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不得写成已完整实现</w:t>
            </w:r>
          </w:p>
        </w:tc>
        <w:tc>
          <w:tcPr>
            <w:tcW w:type="dxa" w:w="663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六类机器学习模型、完整隔离Python沙箱、报告预览下载前端、评测中心、OpenTelemetry、生产级性能和备份恢复。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材料统一规则</w:t>
            </w:r>
          </w:p>
        </w:tc>
        <w:tc>
          <w:tcPr>
            <w:tcW w:type="dxa" w:w="663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已实现能力使用真实截图和测试依据；开发中能力注明当前阶段；规划能力只写路线图，不用AI效果图伪装成真实功能。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20" w:line="276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五 三天内系统完善范围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系统工作采用P0、P1、P2三级管理。负责人只承诺完成P0，P1在不影响稳定性的前提下推进，P2不进入本轮开发。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  <w:cantSplit/>
        </w:trPr>
        <w:tc>
          <w:tcPr>
            <w:tcW w:type="dxa" w:w="1928"/>
            <w:vAlign w:val="center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6973"/>
            <w:vAlign w:val="center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范围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P0 必须完成</w:t>
            </w:r>
          </w:p>
        </w:tc>
        <w:tc>
          <w:tcPr>
            <w:tcW w:type="dxa" w:w="697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一键启动稳定；固定账号和样例数据可用；登录、会话、Agent回答、多轮追问、表格、图表和Evidence主链路可重复演示；页面无明显错误；敏感信息不出现在截图和视频。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P1 尽量完成</w:t>
            </w:r>
          </w:p>
        </w:tc>
        <w:tc>
          <w:tcPr>
            <w:tcW w:type="dxa" w:w="697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可信报告的预览、下载和重试闭环；核心演示问题的回答质量；移动端关键页面；统一错误提示。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P2 暂不扩展</w:t>
            </w:r>
          </w:p>
        </w:tc>
        <w:tc>
          <w:tcPr>
            <w:tcW w:type="dxa" w:w="697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完整六模型平台、评测中心、复杂可观测性、全量生产设备库存场景和与演示无关的重构。</w:t>
            </w:r>
          </w:p>
        </w:tc>
      </w:tr>
    </w:tbl>
    <w:p>
      <w:pPr>
        <w:spacing w:after="40"/>
      </w:pPr>
    </w:p>
    <w:p>
      <w:pPr>
        <w:spacing w:before="0" w:after="120" w:line="324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版本冻结规则：</w:t>
      </w:r>
      <w:r>
        <w:rPr>
          <w:rFonts w:ascii="Microsoft YaHei" w:hAnsi="Microsoft YaHei" w:eastAsia="Microsoft YaHei"/>
          <w:b w:val="0"/>
          <w:color w:val="000000"/>
          <w:sz w:val="21"/>
        </w:rPr>
        <w:t>第二天中午冻结演示版本。冻结后只修复会导致无法启动、无法登录、核心分析失败、页面严重错位或敏感信息泄漏的问题。所有截图和录屏均来自冻结版本。</w:t>
      </w:r>
    </w:p>
    <w:p>
      <w:pPr>
        <w:pStyle w:val="Heading1"/>
        <w:keepNext/>
        <w:spacing w:before="240" w:after="120" w:line="276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六 统一演示主线</w:t>
      </w:r>
    </w:p>
    <w:p>
      <w:pPr>
        <w:pStyle w:val="ListNumber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管理员通过一键启动进入系统并登录演示账号。</w:t>
      </w:r>
    </w:p>
    <w:p>
      <w:pPr>
        <w:pStyle w:val="ListNumber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展示已接入的数据源、表、字段、关系、画像和制造质量语义指标。</w:t>
      </w:r>
    </w:p>
    <w:p>
      <w:pPr>
        <w:pStyle w:val="ListNumber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用户创建会话并提问 最近三个月不良率趋势。</w:t>
      </w:r>
    </w:p>
    <w:p>
      <w:pPr>
        <w:pStyle w:val="ListNumber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Agent识别指标和时间范围，选择目录、语义查询、安全验证和图表工具。</w:t>
      </w:r>
    </w:p>
    <w:p>
      <w:pPr>
        <w:pStyle w:val="ListNumber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系统返回自然语言结论、数据表、折线图、可信等级和Evidence。</w:t>
      </w:r>
    </w:p>
    <w:p>
      <w:pPr>
        <w:pStyle w:val="ListNumber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用户在同一会话追问 哪个月最高 与上个月相比变化多少。</w:t>
      </w:r>
    </w:p>
    <w:p>
      <w:pPr>
        <w:pStyle w:val="ListNumber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展示Agent继承上下文，并根据已有结果选择合适工具完成分析。</w:t>
      </w:r>
    </w:p>
    <w:p>
      <w:pPr>
        <w:pStyle w:val="ListNumber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展示权限、安全SQL、查询依据或技术详情，证明结果不是模型编造。</w:t>
      </w:r>
    </w:p>
    <w:p>
      <w:pPr>
        <w:pStyle w:val="ListNumber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如报告功能已稳定，生成质量分析报告并展示预览或下载；如果尚未完成，只在路线图中说明。</w:t>
      </w:r>
    </w:p>
    <w:p>
      <w:pPr>
        <w:pStyle w:val="ListNumber"/>
        <w:spacing w:before="0" w:after="8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最后总结企业价值、可推广能力和下一阶段规划。</w:t>
      </w:r>
    </w:p>
    <w:p>
      <w:pPr>
        <w:pStyle w:val="Heading1"/>
        <w:keepNext/>
        <w:spacing w:before="240" w:after="120" w:line="276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备用演示问题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请分析各工序的良率。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找出最近一个月不良数量最高的产品。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统计每条产线最近七天的产量趋势。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设备停机时间和不良率是否相关。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生成一份本周质量分析结果。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你好 你能帮我做什么。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如果问题缺少时间或指标口径，验证Agent是否能自然追问。</w:t>
      </w:r>
    </w:p>
    <w:p>
      <w:pPr>
        <w:pStyle w:val="Heading1"/>
        <w:keepNext/>
        <w:spacing w:before="240" w:after="120" w:line="276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七 初赛材料总框架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  <w:cantSplit/>
        </w:trPr>
        <w:tc>
          <w:tcPr>
            <w:tcW w:type="dxa" w:w="794"/>
            <w:vAlign w:val="center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701"/>
            <w:vAlign w:val="center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4649"/>
            <w:vAlign w:val="center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内容要求</w:t>
            </w:r>
          </w:p>
        </w:tc>
        <w:tc>
          <w:tcPr>
            <w:tcW w:type="dxa" w:w="1757"/>
            <w:vAlign w:val="center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负责人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S1</w:t>
            </w:r>
          </w:p>
        </w:tc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方案概要</w:t>
            </w:r>
          </w:p>
        </w:tc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不超过800字，说明目标问题、解决思路、创新点、成果与价值。</w:t>
            </w:r>
          </w:p>
        </w:tc>
        <w:tc>
          <w:tcPr>
            <w:tcW w:type="dxa" w:w="175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报告负责人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S2</w:t>
            </w:r>
          </w:p>
        </w:tc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详细解决方案</w:t>
            </w:r>
          </w:p>
        </w:tc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按S2A至S2D组织，加入团队责任、成本和可行性。</w:t>
            </w:r>
          </w:p>
        </w:tc>
        <w:tc>
          <w:tcPr>
            <w:tcW w:type="dxa" w:w="175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负责人定框架 报告负责人完善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S3</w:t>
            </w:r>
          </w:p>
        </w:tc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项目简介PPT</w:t>
            </w:r>
          </w:p>
        </w:tc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控制在10分钟，强调真实产品、核心优势、演示结果和企业价值。</w:t>
            </w:r>
          </w:p>
        </w:tc>
        <w:tc>
          <w:tcPr>
            <w:tcW w:type="dxa" w:w="175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PPT内容与视觉负责人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S4A</w:t>
            </w:r>
          </w:p>
        </w:tc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可运行系统</w:t>
            </w:r>
          </w:p>
        </w:tc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冻结演示版本、一键启动、固定数据、演示账号和操作说明。</w:t>
            </w:r>
          </w:p>
        </w:tc>
        <w:tc>
          <w:tcPr>
            <w:tcW w:type="dxa" w:w="175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项目负责人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S4B</w:t>
            </w:r>
          </w:p>
        </w:tc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演示视频</w:t>
            </w:r>
          </w:p>
        </w:tc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不超过10分钟且小于150MB，展示完整Agent闭环。</w:t>
            </w:r>
          </w:p>
        </w:tc>
        <w:tc>
          <w:tcPr>
            <w:tcW w:type="dxa" w:w="175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视频负责人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S5</w:t>
            </w:r>
          </w:p>
        </w:tc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团队完成过程</w:t>
            </w:r>
          </w:p>
        </w:tc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PPT或视频，不超过5分钟，展示分工、计划、协作、学习、创新和执行。</w:t>
            </w:r>
          </w:p>
        </w:tc>
        <w:tc>
          <w:tcPr>
            <w:tcW w:type="dxa" w:w="175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PPT内容负责人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企业1</w:t>
            </w:r>
          </w:p>
        </w:tc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产品使用手册</w:t>
            </w:r>
          </w:p>
        </w:tc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功能架构、角色、流程图、主要操作和典型案例。</w:t>
            </w:r>
          </w:p>
        </w:tc>
        <w:tc>
          <w:tcPr>
            <w:tcW w:type="dxa" w:w="175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报告负责人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企业2</w:t>
            </w:r>
          </w:p>
        </w:tc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产品交互演示</w:t>
            </w:r>
          </w:p>
        </w:tc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突出操作过程，可复用S4B素材但应单独导出。</w:t>
            </w:r>
          </w:p>
        </w:tc>
        <w:tc>
          <w:tcPr>
            <w:tcW w:type="dxa" w:w="175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视频负责人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企业3</w:t>
            </w:r>
          </w:p>
        </w:tc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分工及过程文档</w:t>
            </w:r>
          </w:p>
        </w:tc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五人角色、排期、决策、Git记录、测试和验收证据。</w:t>
            </w:r>
          </w:p>
        </w:tc>
        <w:tc>
          <w:tcPr>
            <w:tcW w:type="dxa" w:w="175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报告负责人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企业4</w:t>
            </w:r>
          </w:p>
        </w:tc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业务知识说明</w:t>
            </w:r>
          </w:p>
        </w:tc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业务对象、指标、规则、主题、公式和分析口径。</w:t>
            </w:r>
          </w:p>
        </w:tc>
        <w:tc>
          <w:tcPr>
            <w:tcW w:type="dxa" w:w="175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报告负责人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企业5</w:t>
            </w:r>
          </w:p>
        </w:tc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数据资源说明</w:t>
            </w:r>
          </w:p>
        </w:tc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表、字段、关系、样例值、数据字典、来源和脱敏说明。</w:t>
            </w:r>
          </w:p>
        </w:tc>
        <w:tc>
          <w:tcPr>
            <w:tcW w:type="dxa" w:w="175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报告负责人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20" w:line="276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八 五人协作接口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1701"/>
            <w:vAlign w:val="center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969"/>
            <w:vAlign w:val="center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责任边界</w:t>
            </w:r>
          </w:p>
        </w:tc>
        <w:tc>
          <w:tcPr>
            <w:tcW w:type="dxa" w:w="3231"/>
            <w:vAlign w:val="center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主要输出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项目负责人</w:t>
            </w:r>
          </w:p>
        </w:tc>
        <w:tc>
          <w:tcPr>
            <w:tcW w:type="dxa" w:w="396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冻结产品、确定框架、提供真实素材、审核事实边界、最终提交。</w:t>
            </w:r>
          </w:p>
        </w:tc>
        <w:tc>
          <w:tcPr>
            <w:tcW w:type="dxa" w:w="323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功能清单、统一口径、截图目录、演示账号、最终批准。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报告负责人</w:t>
            </w:r>
          </w:p>
        </w:tc>
        <w:tc>
          <w:tcPr>
            <w:tcW w:type="dxa" w:w="396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把框架扩写成正式材料，统一文字、图表、图片和引用。</w:t>
            </w:r>
          </w:p>
        </w:tc>
        <w:tc>
          <w:tcPr>
            <w:tcW w:type="dxa" w:w="323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S1、S2、手册、知识说明、数据说明、过程文档。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PPT内容负责人</w:t>
            </w:r>
          </w:p>
        </w:tc>
        <w:tc>
          <w:tcPr>
            <w:tcW w:type="dxa" w:w="396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把长文稿转化为10分钟叙事和讲解稿。</w:t>
            </w:r>
          </w:p>
        </w:tc>
        <w:tc>
          <w:tcPr>
            <w:tcW w:type="dxa" w:w="323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逐页文案、讲解词、S5内容。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PPT视觉负责人</w:t>
            </w:r>
          </w:p>
        </w:tc>
        <w:tc>
          <w:tcPr>
            <w:tcW w:type="dxa" w:w="396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维护唯一正式PPT文件，统一版式、配色、截图和动画。</w:t>
            </w:r>
          </w:p>
        </w:tc>
        <w:tc>
          <w:tcPr>
            <w:tcW w:type="dxa" w:w="323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S3正式PPT、配图、打包目录检查。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视频负责人</w:t>
            </w:r>
          </w:p>
        </w:tc>
        <w:tc>
          <w:tcPr>
            <w:tcW w:type="dxa" w:w="396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分镜、录屏、剪辑、字幕、配音、压缩和隐私检查。</w:t>
            </w:r>
          </w:p>
        </w:tc>
        <w:tc>
          <w:tcPr>
            <w:tcW w:type="dxa" w:w="323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S4B和产品交互演示视频。</w:t>
            </w:r>
          </w:p>
        </w:tc>
      </w:tr>
    </w:tbl>
    <w:p>
      <w:pPr>
        <w:spacing w:after="40"/>
      </w:pPr>
    </w:p>
    <w:p>
      <w:pPr>
        <w:spacing w:before="0" w:after="120" w:line="324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协作规则：</w:t>
      </w:r>
      <w:r>
        <w:rPr>
          <w:rFonts w:ascii="Microsoft YaHei" w:hAnsi="Microsoft YaHei" w:eastAsia="Microsoft YaHei"/>
          <w:b w:val="0"/>
          <w:color w:val="000000"/>
          <w:sz w:val="21"/>
        </w:rPr>
        <w:t>每项材料只能有一名最终文件负责人。其他成员通过文字稿、截图或批注协作，不同时维护多个正式版本。文件名必须含版本号和更新时间，最终版统一放入提交目录。</w:t>
      </w:r>
    </w:p>
    <w:p>
      <w:pPr>
        <w:pStyle w:val="Heading1"/>
        <w:keepNext/>
        <w:spacing w:before="240" w:after="120" w:line="276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九 三天执行计划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  <w:cantSplit/>
        </w:trPr>
        <w:tc>
          <w:tcPr>
            <w:tcW w:type="dxa" w:w="1814"/>
            <w:vAlign w:val="center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7087"/>
            <w:vAlign w:val="center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必须完成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第一天 上午</w:t>
            </w:r>
          </w:p>
        </w:tc>
        <w:tc>
          <w:tcPr>
            <w:tcW w:type="dxa" w:w="708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负责人发布统一口径、演示主线、材料目录和真实功能清单；全员确认分工。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第一天 下午</w:t>
            </w:r>
          </w:p>
        </w:tc>
        <w:tc>
          <w:tcPr>
            <w:tcW w:type="dxa" w:w="708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系统修复P0问题；报告完成主文档初稿；PPT完成逐页框架；视频完成分镜和试录。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第一天 晚上</w:t>
            </w:r>
          </w:p>
        </w:tc>
        <w:tc>
          <w:tcPr>
            <w:tcW w:type="dxa" w:w="708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进行第一次联合审查，解决项目名称、术语、功能状态和视觉风格不一致。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第二天 上午</w:t>
            </w:r>
          </w:p>
        </w:tc>
        <w:tc>
          <w:tcPr>
            <w:tcW w:type="dxa" w:w="708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继续修复演示链路；报告、PPT和视频按真实系统补充素材。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第二天 中午</w:t>
            </w:r>
          </w:p>
        </w:tc>
        <w:tc>
          <w:tcPr>
            <w:tcW w:type="dxa" w:w="708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冻结演示版本、账号和数据。冻结后统一截图和正式录屏。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第二天 下午</w:t>
            </w:r>
          </w:p>
        </w:tc>
        <w:tc>
          <w:tcPr>
            <w:tcW w:type="dxa" w:w="708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完成正式截图、主报告二稿、PPT整稿和视频粗剪；拆分企业专项材料。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第三天 上午</w:t>
            </w:r>
          </w:p>
        </w:tc>
        <w:tc>
          <w:tcPr>
            <w:tcW w:type="dxa" w:w="708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交叉校对内容、演练PPT、检查视频字幕和功能表述，修复阻断问题。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第三天 下午</w:t>
            </w:r>
          </w:p>
        </w:tc>
        <w:tc>
          <w:tcPr>
            <w:tcW w:type="dxa" w:w="708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导出PDF、压缩视频、测试PPT、测试系统、核对命名并生成最终RAR。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截止前两小时</w:t>
            </w:r>
          </w:p>
        </w:tc>
        <w:tc>
          <w:tcPr>
            <w:tcW w:type="dxa" w:w="708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停止改稿，换一台电脑解压和复查最终包，完成上传。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20" w:line="276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十 最终审核清单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□ 项目名称、赛题编号、学校、成员、学号和报名顺序全部一致。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□ S1不超过800字，S3和S4B均能在10分钟内完成，S5不超过5分钟。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□ 视频文件小于150MB，常见播放器可以正常打开。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□ 所有功能截图来自真实系统，AI图片只用于概念表达并检查中文文字。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□ 报告、PPT和视频对功能状态的描述一致，不把规划能力写成已完成。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□ 截图和录屏不出现API Key、密码、数据库连接串、真实个人信息或内部错误详情。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□ 演示账号、样例数据、一键启动和核心问题在冻结版本上至少完整走通两次。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□ Word、PDF、PPT和视频均在另一台电脑上打开检查。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□ 外层RAR文件名严格按照报名成员顺序命名。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□ 最终RAR解压后目录清晰、无临时文件、无重复版本、无损坏文件。</w:t>
      </w:r>
    </w:p>
    <w:p>
      <w:pPr>
        <w:pStyle w:val="Heading1"/>
        <w:keepNext/>
        <w:spacing w:before="240" w:after="120" w:line="276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十一 负责人需要补充的信息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  <w:cantSplit/>
        </w:trPr>
        <w:tc>
          <w:tcPr>
            <w:tcW w:type="dxa" w:w="1928"/>
            <w:vAlign w:val="center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待补项目</w:t>
            </w:r>
          </w:p>
        </w:tc>
        <w:tc>
          <w:tcPr>
            <w:tcW w:type="dxa" w:w="6973"/>
            <w:vAlign w:val="center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需要填写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团队信息</w:t>
            </w:r>
          </w:p>
        </w:tc>
        <w:tc>
          <w:tcPr>
            <w:tcW w:type="dxa" w:w="697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学校、指导老师、五名成员姓名、学号、报名顺序和联系方式。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时间信息</w:t>
            </w:r>
          </w:p>
        </w:tc>
        <w:tc>
          <w:tcPr>
            <w:tcW w:type="dxa" w:w="697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正式截止时间、上传平台、单文件限制、压缩包内部命名规则。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分工信息</w:t>
            </w:r>
          </w:p>
        </w:tc>
        <w:tc>
          <w:tcPr>
            <w:tcW w:type="dxa" w:w="697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每位成员的真实贡献、负责材料和可证明的过程记录。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演示信息</w:t>
            </w:r>
          </w:p>
        </w:tc>
        <w:tc>
          <w:tcPr>
            <w:tcW w:type="dxa" w:w="697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最终演示账号、登录密码、演示数据版本、核心问题和预期结果。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成本信息</w:t>
            </w:r>
          </w:p>
        </w:tc>
        <w:tc>
          <w:tcPr>
            <w:tcW w:type="dxa" w:w="697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拟采用的模型价格、服务器规格和私有化或SaaS商业模式假设。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视觉信息</w:t>
            </w:r>
          </w:p>
        </w:tc>
        <w:tc>
          <w:tcPr>
            <w:tcW w:type="dxa" w:w="697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7FB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最终Logo、主色、报告与PPT模板选择。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20" w:line="276" w:lineRule="auto"/>
      </w:pPr>
      <w:r>
        <w:rPr>
          <w:rFonts w:ascii="Microsoft YaHei" w:hAnsi="Microsoft YaHei" w:eastAsia="Microsoft YaHei"/>
          <w:b/>
          <w:color w:val="000000"/>
          <w:sz w:val="30"/>
        </w:rPr>
        <w:t>附录 建议素材目录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01 登录与工作空间页面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02 数据源列表与连接配置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03 数据目录 表字段关系与画像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04 业务指标和语义模型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05 Agent自然语言提问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06 Agent计划与工具执行过程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07 表格与图表结果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08 多轮追问与自然澄清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09 Evidence与查询验证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10 报告生成与下载 如果已完成</w:t>
      </w:r>
    </w:p>
    <w:p>
      <w:pPr>
        <w:pStyle w:val="ListBullet"/>
        <w:spacing w:before="0" w:after="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11 团队过程 Git提交 测试和验收记录</w:t>
      </w:r>
    </w:p>
    <w:sectPr w:rsidR="00FC693F" w:rsidRPr="0006063C" w:rsidSect="00034616">
      <w:footerReference w:type="default" r:id="rId9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6464"/>
        <w:sz w:val="16"/>
      </w:rPr>
      <w:t>智析 Data Agent 初赛项目负责人工作稿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