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22" w:rsidRDefault="00414122">
      <w:pPr>
        <w:jc w:val="center"/>
      </w:pPr>
    </w:p>
    <w:p w:rsidR="00414122" w:rsidRDefault="00414122">
      <w:pPr>
        <w:jc w:val="center"/>
      </w:pPr>
    </w:p>
    <w:p w:rsidR="00414122" w:rsidRDefault="00414122">
      <w:pPr>
        <w:jc w:val="center"/>
      </w:pPr>
    </w:p>
    <w:p w:rsidR="00414122" w:rsidRDefault="00414122">
      <w:pPr>
        <w:jc w:val="center"/>
      </w:pPr>
    </w:p>
    <w:p w:rsidR="00414122" w:rsidRDefault="00414122">
      <w:pPr>
        <w:jc w:val="center"/>
      </w:pPr>
    </w:p>
    <w:p w:rsidR="00414122" w:rsidRDefault="002006C7">
      <w:pPr>
        <w:pStyle w:val="Ttulododocumento"/>
        <w:pBdr>
          <w:bottom w:val="single" w:sz="8" w:space="3" w:color="4F81BD"/>
        </w:pBdr>
      </w:pPr>
      <w:r>
        <w:t>Gerenciamento de Configuração e Mudança</w:t>
      </w:r>
    </w:p>
    <w:p w:rsidR="00414122" w:rsidRDefault="00BA5273">
      <w:pPr>
        <w:pStyle w:val="Ttulododocumento"/>
        <w:pBdr>
          <w:bottom w:val="single" w:sz="8" w:space="3" w:color="4F81BD"/>
        </w:pBdr>
      </w:pPr>
      <w:r>
        <w:t xml:space="preserve">Vitória </w:t>
      </w:r>
      <w:proofErr w:type="spellStart"/>
      <w:r>
        <w:t>Comésticos</w:t>
      </w:r>
      <w:proofErr w:type="spellEnd"/>
    </w:p>
    <w:p w:rsidR="00414122" w:rsidRDefault="00414122"/>
    <w:p w:rsidR="00414122" w:rsidRDefault="00414122"/>
    <w:p w:rsidR="00414122" w:rsidRDefault="00414122"/>
    <w:p w:rsidR="00414122" w:rsidRDefault="00414122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A5273" w:rsidTr="00BA5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BA5273" w:rsidRPr="00BA5273" w:rsidRDefault="00BA5273">
            <w:pPr>
              <w:rPr>
                <w:color w:val="FFFFFF" w:themeColor="background1"/>
              </w:rPr>
            </w:pPr>
            <w:r w:rsidRPr="00BA5273">
              <w:rPr>
                <w:color w:val="FFFFFF" w:themeColor="background1"/>
              </w:rPr>
              <w:t>Nomes</w:t>
            </w:r>
          </w:p>
        </w:tc>
        <w:tc>
          <w:tcPr>
            <w:tcW w:w="4583" w:type="dxa"/>
          </w:tcPr>
          <w:p w:rsidR="00BA5273" w:rsidRPr="00BA5273" w:rsidRDefault="00BA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BA5273">
              <w:rPr>
                <w:color w:val="FFFFFF" w:themeColor="background1"/>
              </w:rPr>
              <w:t>RA’s</w:t>
            </w:r>
            <w:proofErr w:type="spellEnd"/>
          </w:p>
        </w:tc>
      </w:tr>
      <w:tr w:rsidR="00BA5273" w:rsidTr="00BA5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BA5273" w:rsidRDefault="00BA5273" w:rsidP="00BA5273">
            <w:r w:rsidRPr="00BA5273">
              <w:t>E</w:t>
            </w:r>
            <w:r>
              <w:t xml:space="preserve">duardo Tadeu </w:t>
            </w:r>
            <w:proofErr w:type="spellStart"/>
            <w:r>
              <w:t>Montecino</w:t>
            </w:r>
            <w:proofErr w:type="spellEnd"/>
            <w:r>
              <w:t xml:space="preserve"> Junior</w:t>
            </w:r>
          </w:p>
        </w:tc>
        <w:tc>
          <w:tcPr>
            <w:tcW w:w="4583" w:type="dxa"/>
          </w:tcPr>
          <w:p w:rsidR="00BA5273" w:rsidRDefault="00BA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73">
              <w:t>1600342</w:t>
            </w:r>
          </w:p>
        </w:tc>
      </w:tr>
      <w:tr w:rsidR="00BA5273" w:rsidTr="00BA5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BA5273" w:rsidRDefault="00BA5273" w:rsidP="00BA5273">
            <w:r>
              <w:t>José Luiz Raimundo Junior</w:t>
            </w:r>
          </w:p>
        </w:tc>
        <w:tc>
          <w:tcPr>
            <w:tcW w:w="4583" w:type="dxa"/>
          </w:tcPr>
          <w:p w:rsidR="00BA5273" w:rsidRDefault="00BA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273">
              <w:t>1600812</w:t>
            </w:r>
          </w:p>
        </w:tc>
      </w:tr>
      <w:tr w:rsidR="00BA5273" w:rsidTr="00BA5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BA5273" w:rsidRDefault="00BA5273">
            <w:r w:rsidRPr="00BA5273">
              <w:t>Pedro Henrique Cerqueira Prado</w:t>
            </w:r>
          </w:p>
        </w:tc>
        <w:tc>
          <w:tcPr>
            <w:tcW w:w="4583" w:type="dxa"/>
          </w:tcPr>
          <w:p w:rsidR="00BA5273" w:rsidRDefault="00BA5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73">
              <w:t>1600017</w:t>
            </w:r>
          </w:p>
        </w:tc>
      </w:tr>
      <w:tr w:rsidR="00BA5273" w:rsidTr="00BA5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BA5273" w:rsidRDefault="00BA5273"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583" w:type="dxa"/>
          </w:tcPr>
          <w:p w:rsidR="00BA5273" w:rsidRDefault="00BA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1600155</w:t>
            </w:r>
          </w:p>
        </w:tc>
      </w:tr>
    </w:tbl>
    <w:p w:rsidR="00414122" w:rsidRDefault="00414122"/>
    <w:p w:rsidR="00414122" w:rsidRDefault="00414122"/>
    <w:p w:rsidR="00414122" w:rsidRDefault="002006C7">
      <w:r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:rsidR="00414122" w:rsidRDefault="002006C7">
          <w:r>
            <w:rPr>
              <w:rStyle w:val="Estilo-SumarioChar"/>
            </w:rPr>
            <w:t>Sumário</w:t>
          </w:r>
        </w:p>
        <w:p w:rsidR="00414122" w:rsidRDefault="002006C7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6134246">
            <w:r>
              <w:rPr>
                <w:rStyle w:val="Vnculodendice"/>
                <w:webHidden/>
              </w:rPr>
              <w:t>Sobre 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7">
            <w:r>
              <w:rPr>
                <w:rStyle w:val="Vnculodendice"/>
                <w:webHidden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8">
            <w:r>
              <w:rPr>
                <w:rStyle w:val="Vnculodendice"/>
                <w:webHidden/>
              </w:rPr>
              <w:t>V</w:t>
            </w:r>
            <w:r>
              <w:rPr>
                <w:rStyle w:val="Vnculodendice"/>
                <w:webHidden/>
              </w:rPr>
              <w:t>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9">
            <w:r>
              <w:rPr>
                <w:rStyle w:val="Vnculodendice"/>
                <w:webHidden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0">
            <w:r>
              <w:rPr>
                <w:rStyle w:val="Vnculodendice"/>
                <w:webHidden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1">
            <w:r>
              <w:rPr>
                <w:rStyle w:val="Vnculodendice"/>
                <w:webHidden/>
              </w:rPr>
              <w:t>Definições e Termos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2">
            <w:r>
              <w:rPr>
                <w:rStyle w:val="Vnculodendice"/>
                <w:webHidden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3">
            <w:r>
              <w:rPr>
                <w:rStyle w:val="Vnculodendice"/>
                <w:webHidden/>
              </w:rPr>
              <w:t>Gerenciamento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4">
            <w:r>
              <w:rPr>
                <w:rStyle w:val="Vnculodendice"/>
                <w:webHidden/>
              </w:rPr>
              <w:t>Baselines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5">
            <w:r>
              <w:rPr>
                <w:rStyle w:val="Vnculodendice"/>
                <w:webHidden/>
              </w:rPr>
              <w:t>Padrão de Identificação dos Itens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6">
            <w:r>
              <w:rPr>
                <w:rStyle w:val="Vnculodendice"/>
                <w:webHidden/>
              </w:rPr>
              <w:t>Padrão de Versionamento dos Itens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7">
            <w:r>
              <w:rPr>
                <w:rStyle w:val="Vnculodendice"/>
                <w:webHidden/>
              </w:rPr>
              <w:t>Localização dos Artefatos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8">
            <w:r>
              <w:rPr>
                <w:rStyle w:val="Vnculodendice"/>
                <w:webHidden/>
              </w:rPr>
              <w:t>Gerenciamento de Configuração de Ambiente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9">
            <w:r>
              <w:rPr>
                <w:rStyle w:val="Vnculodendice"/>
                <w:webHidden/>
              </w:rPr>
              <w:t>Ferramentas de Controle de Versão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0">
            <w:r>
              <w:rPr>
                <w:rStyle w:val="Vnculodendice"/>
                <w:webHidden/>
              </w:rPr>
              <w:t>Ferramentas de Desenvolvimento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1">
            <w:r>
              <w:rPr>
                <w:rStyle w:val="Vnculodendice"/>
                <w:webHidden/>
              </w:rPr>
              <w:t>Ambiente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2">
            <w:r>
              <w:rPr>
                <w:rStyle w:val="Vnculodendice"/>
                <w:webHidden/>
              </w:rPr>
              <w:t>Ambiente de Homologação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3">
            <w:r>
              <w:rPr>
                <w:rStyle w:val="Vnculodendice"/>
                <w:webHidden/>
              </w:rPr>
              <w:t>Ambiente de Produçã</w:t>
            </w:r>
            <w:r>
              <w:rPr>
                <w:rStyle w:val="Vnculodendice"/>
                <w:webHidden/>
              </w:rPr>
              <w:t>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4">
            <w:r>
              <w:rPr>
                <w:rStyle w:val="Vnculodendice"/>
                <w:webHidden/>
              </w:rPr>
              <w:t>Controle de Configuração e Mudança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5">
            <w:r>
              <w:rPr>
                <w:rStyle w:val="Vnculodendice"/>
                <w:webHidden/>
              </w:rPr>
              <w:t>Solicitação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6">
            <w:r>
              <w:rPr>
                <w:rStyle w:val="Vnculodendice"/>
                <w:webHidden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7">
            <w:r>
              <w:rPr>
                <w:rStyle w:val="Vnculodendice"/>
                <w:webHidden/>
              </w:rPr>
              <w:t>Acompanhamento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_Toc346134267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8">
            <w:r>
              <w:rPr>
                <w:rStyle w:val="Vnculodendice"/>
                <w:webHidden/>
              </w:rPr>
              <w:t>Auditoria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9">
            <w:r>
              <w:rPr>
                <w:rStyle w:val="Vnculodendice"/>
                <w:webHidden/>
              </w:rPr>
              <w:t>Plano de Fallback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122" w:rsidRDefault="002006C7">
          <w:r>
            <w:fldChar w:fldCharType="end"/>
          </w:r>
        </w:p>
      </w:sdtContent>
    </w:sdt>
    <w:p w:rsidR="00414122" w:rsidRDefault="00414122"/>
    <w:p w:rsidR="00414122" w:rsidRDefault="002006C7">
      <w:r>
        <w:br w:type="page"/>
      </w:r>
    </w:p>
    <w:p w:rsidR="00414122" w:rsidRDefault="002006C7">
      <w:pPr>
        <w:pStyle w:val="Ttulo1"/>
      </w:pPr>
      <w:bookmarkStart w:id="0" w:name="_Toc346134249"/>
      <w:bookmarkEnd w:id="0"/>
      <w:r>
        <w:lastRenderedPageBreak/>
        <w:t>Introdução</w:t>
      </w:r>
    </w:p>
    <w:p w:rsidR="00414122" w:rsidRDefault="002006C7">
      <w:pPr>
        <w:pStyle w:val="Ttulo2"/>
      </w:pPr>
      <w:bookmarkStart w:id="1" w:name="_Toc346134250"/>
      <w:bookmarkEnd w:id="1"/>
      <w:r>
        <w:t>Objetivo</w:t>
      </w:r>
    </w:p>
    <w:p w:rsidR="00414122" w:rsidRDefault="002006C7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Este documento descreve a organização, nomenclatura e regras para o</w:t>
      </w:r>
    </w:p>
    <w:p w:rsidR="00414122" w:rsidRDefault="002006C7">
      <w:pPr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versionamento</w:t>
      </w:r>
      <w:proofErr w:type="gramEnd"/>
      <w:r>
        <w:rPr>
          <w:rFonts w:ascii="Verdana" w:hAnsi="Verdana" w:cs="Verdana"/>
          <w:sz w:val="23"/>
          <w:szCs w:val="23"/>
        </w:rPr>
        <w:t xml:space="preserve"> do projeto </w:t>
      </w:r>
      <w:r w:rsidR="00BA5273">
        <w:rPr>
          <w:rFonts w:ascii="Verdana" w:hAnsi="Verdana" w:cs="Verdana"/>
          <w:sz w:val="23"/>
          <w:szCs w:val="23"/>
        </w:rPr>
        <w:t>Vitória Cosméticos</w:t>
      </w:r>
      <w:r>
        <w:rPr>
          <w:rFonts w:ascii="Verdana" w:hAnsi="Verdana" w:cs="Verdana"/>
          <w:sz w:val="23"/>
          <w:szCs w:val="23"/>
        </w:rPr>
        <w:t>.</w:t>
      </w:r>
    </w:p>
    <w:p w:rsidR="00414122" w:rsidRDefault="002006C7">
      <w:pPr>
        <w:pStyle w:val="Ttulo2"/>
      </w:pPr>
      <w:r>
        <w:t>Descrição</w:t>
      </w:r>
    </w:p>
    <w:p w:rsidR="00BA5273" w:rsidRPr="00BA5273" w:rsidRDefault="00BA5273" w:rsidP="00BA5273">
      <w:pPr>
        <w:pStyle w:val="Ttulo2"/>
        <w:ind w:firstLine="708"/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</w:pPr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O diretor da VITÓRIA COSMÉTICOS percebeu a necessidade de obter um novo sistema que atendesse sua microempresa já que o sistema atual é generalista, ou seja, atende a qualquer tipo negócio, com isso há uma quantidade considerável de funções que não são usadas e outras tantas que lhe faltam. O principal objetivo do cliente é ter o maior número de revendedores (Ponto de Venda) ativos, otimização do gerenciamento e redução de gastos.</w:t>
      </w:r>
    </w:p>
    <w:p w:rsidR="00BA5273" w:rsidRPr="00BA5273" w:rsidRDefault="00BA5273" w:rsidP="00BA5273">
      <w:pPr>
        <w:pStyle w:val="Ttulo2"/>
        <w:ind w:firstLine="708"/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</w:pPr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 xml:space="preserve">A VITÓRIA COSMÉTICOS atua há mais de 20 anos no ramo de distribuição de cosméticos para revenda, esse trabalho consiste em vendas como Avon, Mary </w:t>
      </w:r>
      <w:proofErr w:type="spellStart"/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Kay</w:t>
      </w:r>
      <w:proofErr w:type="spellEnd"/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, Natura, ou seja, realizadas por revendedores cadastrados os quais, através de catálogos (revistas), vendem de “porta em porta”.</w:t>
      </w:r>
    </w:p>
    <w:p w:rsidR="00BA5273" w:rsidRPr="00BA5273" w:rsidRDefault="00BA5273" w:rsidP="00BA5273">
      <w:pPr>
        <w:pStyle w:val="Ttulo2"/>
        <w:ind w:firstLine="708"/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</w:pPr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A empresa conta hoje com 12 colaboradores, está localizada no bairro de Itaquera, zona leste de São Paulo e tem um faturamento médio anual de dois milhões de reais.</w:t>
      </w:r>
    </w:p>
    <w:p w:rsidR="00BA5273" w:rsidRPr="00BA5273" w:rsidRDefault="00BA5273" w:rsidP="00BA5273">
      <w:pPr>
        <w:pStyle w:val="Ttulo2"/>
        <w:ind w:firstLine="708"/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</w:pPr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Este projeto abordará o desenvolvimento de um sistema que auxilie no desenvolvimento dos processos internos de controle e cadastro de vendas, catalogação e gerenciamento de estoque, gerenciamento das entregas, gestão de vendedores e fornecedores e que seja acessível a múltiplas plataformas.</w:t>
      </w:r>
    </w:p>
    <w:p w:rsidR="00BA5273" w:rsidRDefault="00BA5273" w:rsidP="00BA5273">
      <w:pPr>
        <w:pStyle w:val="Ttulo2"/>
        <w:ind w:firstLine="708"/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</w:pPr>
      <w:r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F</w:t>
      </w:r>
      <w:r w:rsidRPr="00BA5273">
        <w:rPr>
          <w:rFonts w:ascii="Verdana" w:eastAsiaTheme="minorHAnsi" w:hAnsi="Verdana" w:cs="Verdana"/>
          <w:b w:val="0"/>
          <w:bCs w:val="0"/>
          <w:color w:val="auto"/>
          <w:sz w:val="23"/>
          <w:szCs w:val="23"/>
        </w:rPr>
        <w:t>oi esclarecido com o cliente que o projeto, faz parte do trabalho de conclusão do curso de Pós-Graduação em Engenharia de Software da instituição Faculdade Impacta, para o desenvolvimento pessoal e profissional, sem gerar gastos de ambas as partes. Este trabalho consiste em gerar toda a documentação necessária para que uma equipe de desenvolvedores consiga entregar um software para o cliente sem problemas.</w:t>
      </w:r>
    </w:p>
    <w:p w:rsidR="00BA5273" w:rsidRDefault="00BA5273">
      <w:pPr>
        <w:spacing w:after="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br w:type="page"/>
      </w:r>
    </w:p>
    <w:p w:rsidR="00414122" w:rsidRDefault="002006C7" w:rsidP="00BA5273">
      <w:pPr>
        <w:pStyle w:val="Ttulo2"/>
      </w:pPr>
      <w:r>
        <w:lastRenderedPageBreak/>
        <w:t>Envolvidos</w:t>
      </w: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40"/>
        <w:gridCol w:w="2126"/>
        <w:gridCol w:w="4876"/>
      </w:tblGrid>
      <w:tr w:rsidR="00414122" w:rsidTr="00BA5273">
        <w:tc>
          <w:tcPr>
            <w:tcW w:w="2240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4876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414122" w:rsidTr="00BA5273">
        <w:tc>
          <w:tcPr>
            <w:tcW w:w="2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 w:rsidP="00BA5273">
            <w:pPr>
              <w:spacing w:after="0" w:line="240" w:lineRule="auto"/>
            </w:pPr>
            <w:r>
              <w:t>José Luiz R. Jr.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48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 w:rsidRPr="00F528B4">
              <w:rPr>
                <w:i/>
              </w:rPr>
              <w:t>Merge</w:t>
            </w:r>
            <w:r>
              <w:t xml:space="preserve"> de todos os artefatos</w:t>
            </w:r>
          </w:p>
        </w:tc>
      </w:tr>
      <w:tr w:rsidR="00414122" w:rsidTr="00BA5273"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proofErr w:type="spellStart"/>
            <w:r w:rsidRPr="00F528B4">
              <w:rPr>
                <w:i/>
              </w:rPr>
              <w:t>Commit</w:t>
            </w:r>
            <w:proofErr w:type="spellEnd"/>
            <w:r>
              <w:t xml:space="preserve"> de todos os artefatos</w:t>
            </w:r>
          </w:p>
        </w:tc>
      </w:tr>
      <w:tr w:rsidR="00414122" w:rsidTr="00BA5273"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 w:rsidRPr="00BA5273">
              <w:t xml:space="preserve">Eduardo Tadeu </w:t>
            </w:r>
            <w:proofErr w:type="spellStart"/>
            <w:r w:rsidRPr="00BA5273">
              <w:t>Montecino</w:t>
            </w:r>
            <w:proofErr w:type="spellEnd"/>
            <w:r w:rsidRPr="00BA5273">
              <w:t xml:space="preserve"> Junior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proofErr w:type="spellStart"/>
            <w:r w:rsidRPr="00F528B4">
              <w:rPr>
                <w:i/>
              </w:rPr>
              <w:t>Commit</w:t>
            </w:r>
            <w:proofErr w:type="spellEnd"/>
            <w:r>
              <w:t xml:space="preserve"> de todos os artefatos</w:t>
            </w:r>
          </w:p>
        </w:tc>
      </w:tr>
      <w:tr w:rsidR="00414122" w:rsidTr="00BA5273"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 w:rsidRPr="00BA5273">
              <w:t>Pedro Henrique Cerqueira Prado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BA527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proofErr w:type="spellStart"/>
            <w:r w:rsidRPr="00F528B4">
              <w:rPr>
                <w:i/>
              </w:rPr>
              <w:t>Commit</w:t>
            </w:r>
            <w:proofErr w:type="spellEnd"/>
            <w:r>
              <w:t xml:space="preserve"> de todos os artefatos</w:t>
            </w:r>
          </w:p>
        </w:tc>
      </w:tr>
    </w:tbl>
    <w:p w:rsidR="00414122" w:rsidRDefault="002006C7">
      <w:pPr>
        <w:pStyle w:val="Ttulo2"/>
      </w:pPr>
      <w:bookmarkStart w:id="2" w:name="_Toc346134251"/>
      <w:bookmarkEnd w:id="2"/>
      <w:r>
        <w:t>D</w:t>
      </w:r>
      <w:r>
        <w:t>efinições e Termos</w:t>
      </w: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62"/>
        <w:gridCol w:w="4208"/>
        <w:gridCol w:w="3872"/>
      </w:tblGrid>
      <w:tr w:rsidR="00414122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4208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872" w:type="dxa"/>
            <w:tcBorders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  <w:rPr>
                <w:b/>
              </w:rPr>
            </w:pPr>
          </w:p>
        </w:tc>
      </w:tr>
      <w:tr w:rsidR="00414122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</w:pPr>
            <w:r>
              <w:t>SVN</w:t>
            </w:r>
          </w:p>
        </w:tc>
        <w:tc>
          <w:tcPr>
            <w:tcW w:w="42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8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</w:tbl>
    <w:p w:rsidR="00414122" w:rsidRDefault="002006C7">
      <w:pPr>
        <w:pStyle w:val="Ttulo2"/>
      </w:pPr>
      <w:bookmarkStart w:id="3" w:name="_Toc346134252"/>
      <w:bookmarkEnd w:id="3"/>
      <w:r>
        <w:t>Abreviações</w:t>
      </w:r>
    </w:p>
    <w:p w:rsidR="00414122" w:rsidRDefault="002006C7">
      <w:r>
        <w:t>Nesta seção são descritos as convenções, termos e abreviações utilizadas neste documento.</w:t>
      </w: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414122" w:rsidTr="00F528B4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Abreviações</w:t>
            </w:r>
          </w:p>
        </w:tc>
        <w:tc>
          <w:tcPr>
            <w:tcW w:w="6157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14122" w:rsidTr="00F528B4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GER</w:t>
            </w:r>
          </w:p>
        </w:tc>
        <w:tc>
          <w:tcPr>
            <w:tcW w:w="615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Geral</w:t>
            </w:r>
          </w:p>
        </w:tc>
      </w:tr>
      <w:tr w:rsidR="00414122" w:rsidTr="00F528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ADP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Analise do problema</w:t>
            </w:r>
          </w:p>
        </w:tc>
      </w:tr>
      <w:tr w:rsidR="00414122" w:rsidTr="00F528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WDC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Workshop de características</w:t>
            </w:r>
          </w:p>
        </w:tc>
      </w:tr>
      <w:tr w:rsidR="00414122" w:rsidTr="00F528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MPN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F528B4">
            <w:pPr>
              <w:spacing w:after="0" w:line="240" w:lineRule="auto"/>
            </w:pPr>
            <w:r>
              <w:t>Modelagem dos processos de negócio</w:t>
            </w:r>
          </w:p>
        </w:tc>
      </w:tr>
      <w:tr w:rsidR="00414122" w:rsidTr="00F528B4"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7B4109">
            <w:pPr>
              <w:spacing w:after="0" w:line="240" w:lineRule="auto"/>
            </w:pPr>
            <w:r>
              <w:t>LC</w:t>
            </w:r>
          </w:p>
        </w:tc>
        <w:tc>
          <w:tcPr>
            <w:tcW w:w="615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7B4109">
            <w:pPr>
              <w:spacing w:after="0" w:line="240" w:lineRule="auto"/>
            </w:pPr>
            <w:r>
              <w:t>Lista de características</w:t>
            </w:r>
          </w:p>
        </w:tc>
      </w:tr>
    </w:tbl>
    <w:p w:rsidR="00F528B4" w:rsidRDefault="00F528B4">
      <w:pPr>
        <w:pStyle w:val="Ttulo1"/>
      </w:pPr>
      <w:bookmarkStart w:id="4" w:name="_Toc346134253"/>
      <w:bookmarkEnd w:id="4"/>
    </w:p>
    <w:p w:rsidR="00F528B4" w:rsidRDefault="00F528B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4122" w:rsidRDefault="002006C7">
      <w:pPr>
        <w:pStyle w:val="Ttulo1"/>
      </w:pPr>
      <w:r>
        <w:lastRenderedPageBreak/>
        <w:t xml:space="preserve">Gerenciamento de </w:t>
      </w:r>
      <w:r>
        <w:t>Configuração</w:t>
      </w:r>
    </w:p>
    <w:p w:rsidR="00414122" w:rsidRDefault="002006C7">
      <w:pPr>
        <w:pStyle w:val="Ttulo2"/>
      </w:pPr>
      <w:bookmarkStart w:id="5" w:name="_Toc346134254"/>
      <w:bookmarkEnd w:id="5"/>
      <w:proofErr w:type="spellStart"/>
      <w:r>
        <w:t>Baselines</w:t>
      </w:r>
      <w:proofErr w:type="spellEnd"/>
      <w:r>
        <w:t xml:space="preserve"> do Projeto</w:t>
      </w: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91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948"/>
        <w:gridCol w:w="1276"/>
        <w:gridCol w:w="4961"/>
      </w:tblGrid>
      <w:tr w:rsidR="00414122" w:rsidTr="007B4109">
        <w:tc>
          <w:tcPr>
            <w:tcW w:w="2948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7B4109" w:rsidTr="007B4109">
        <w:tc>
          <w:tcPr>
            <w:tcW w:w="294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>
              <w:t>Declaração do escopo</w:t>
            </w: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B4109" w:rsidRDefault="007B4109">
            <w:pPr>
              <w:spacing w:after="0" w:line="240" w:lineRule="auto"/>
            </w:pPr>
            <w:r>
              <w:t>Requisitos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Impacta-es13-gen</w:t>
            </w:r>
            <w:r>
              <w:t>-</w:t>
            </w:r>
            <w:r>
              <w:t>Declaração</w:t>
            </w:r>
            <w:r>
              <w:t>D</w:t>
            </w:r>
            <w:r>
              <w:t>o</w:t>
            </w:r>
            <w:r>
              <w:t>E</w:t>
            </w:r>
            <w:r>
              <w:t>scopo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>
              <w:t>Integrantes do projeto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 w:rsidRPr="007B4109">
              <w:t>Impacta-es13-gen</w:t>
            </w:r>
            <w:r>
              <w:t>-</w:t>
            </w:r>
            <w:r>
              <w:t>IntegrantesDoProjeto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>
              <w:t>Regras de comunicação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 w:rsidRPr="007B4109">
              <w:t>Impacta-es13-gen</w:t>
            </w:r>
            <w:r>
              <w:t>-</w:t>
            </w:r>
            <w:r>
              <w:t>RegrasDeComunicação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>
              <w:t>Glossário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 w:rsidRPr="007B4109">
              <w:t>Impacta-es13-gen</w:t>
            </w:r>
            <w:r>
              <w:t>-</w:t>
            </w:r>
            <w:r>
              <w:t>Glossário</w:t>
            </w:r>
          </w:p>
        </w:tc>
      </w:tr>
      <w:tr w:rsidR="007B4109" w:rsidTr="007B4109">
        <w:trPr>
          <w:trHeight w:val="80"/>
        </w:trPr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>
              <w:t>Referências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 w:rsidRPr="007B4109">
              <w:t>Impacta-es13-gen</w:t>
            </w:r>
            <w:r>
              <w:t>-</w:t>
            </w:r>
            <w:r>
              <w:t>Referências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  <w:r>
              <w:t>Declaração do problema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Impacta-es13-adp-</w:t>
            </w:r>
            <w:r>
              <w:t>DeclaraçãoDoProblema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>Analise das causas raízes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Impacta-es13-adp-</w:t>
            </w:r>
            <w:r>
              <w:t>AnaliseDasCausasRaízes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 xml:space="preserve">Usuários e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Impacta-es13-adp-</w:t>
            </w:r>
            <w:r>
              <w:t>UsuáriosStakeHolders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>Fronteira sistêmica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Impacta-es13-adp-</w:t>
            </w:r>
            <w:r>
              <w:t>FronteiraSistêmica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>Lista de restrições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Impacta-es13-adp-</w:t>
            </w:r>
            <w:r>
              <w:t>ListaRestrições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>Lista de necessidades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</w:t>
            </w:r>
            <w:r w:rsidRPr="007B4109">
              <w:t xml:space="preserve"> </w:t>
            </w:r>
            <w:proofErr w:type="spellStart"/>
            <w:r w:rsidRPr="007B4109">
              <w:t>adp</w:t>
            </w:r>
            <w:r>
              <w:t>-</w:t>
            </w:r>
            <w:r>
              <w:t>Lista</w:t>
            </w:r>
            <w:r>
              <w:t>D</w:t>
            </w:r>
            <w:r>
              <w:t>e</w:t>
            </w:r>
            <w:r>
              <w:t>N</w:t>
            </w:r>
            <w:r>
              <w:t>ecessidades</w:t>
            </w:r>
            <w:proofErr w:type="spellEnd"/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>Lista de características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</w:t>
            </w:r>
            <w:r>
              <w:t>wdc-</w:t>
            </w:r>
            <w:r>
              <w:t>ListaDeCaracterísticas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proofErr w:type="gramStart"/>
            <w:r>
              <w:t>LC Priorizada</w:t>
            </w:r>
            <w:proofErr w:type="gramEnd"/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</w:t>
            </w:r>
            <w:r>
              <w:t>wdc-</w:t>
            </w:r>
            <w:r w:rsidR="009A3C67">
              <w:t>LCPriorizada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proofErr w:type="gramStart"/>
            <w:r>
              <w:t>LC Priorizada</w:t>
            </w:r>
            <w:proofErr w:type="gramEnd"/>
            <w:r>
              <w:t xml:space="preserve"> x esforço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9A3C67">
            <w:pPr>
              <w:spacing w:after="0" w:line="240" w:lineRule="auto"/>
            </w:pPr>
            <w:r w:rsidRPr="007B4109">
              <w:t>Impacta-es13-</w:t>
            </w:r>
            <w:r>
              <w:t>wdc-</w:t>
            </w:r>
            <w:r w:rsidR="009A3C67">
              <w:t>LCPriorizada</w:t>
            </w:r>
            <w:r w:rsidR="009A3C67">
              <w:t>Esforço</w:t>
            </w:r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proofErr w:type="gramStart"/>
            <w:r>
              <w:t>LC Priorizada</w:t>
            </w:r>
            <w:proofErr w:type="gramEnd"/>
            <w:r>
              <w:t xml:space="preserve"> x esforço x risco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</w:t>
            </w:r>
            <w:r>
              <w:t>wdc-</w:t>
            </w:r>
            <w:r w:rsidR="009A3C67">
              <w:t xml:space="preserve"> </w:t>
            </w:r>
            <w:proofErr w:type="spellStart"/>
            <w:r w:rsidR="009A3C67">
              <w:t>LCPriorizadaEsforço</w:t>
            </w:r>
            <w:r w:rsidR="009A3C67">
              <w:t>Risco</w:t>
            </w:r>
            <w:proofErr w:type="spellEnd"/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>
              <w:t xml:space="preserve">Definição de </w:t>
            </w:r>
            <w:proofErr w:type="spellStart"/>
            <w:r>
              <w:t>baselines</w:t>
            </w:r>
            <w:proofErr w:type="spellEnd"/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  <w:r w:rsidRPr="007B4109">
              <w:t>Impacta-es13-</w:t>
            </w:r>
            <w:r>
              <w:t>wdc-</w:t>
            </w:r>
            <w:r w:rsidR="009A3C67">
              <w:t>Baselines</w:t>
            </w:r>
            <w:bookmarkStart w:id="6" w:name="_GoBack"/>
            <w:bookmarkEnd w:id="6"/>
          </w:p>
        </w:tc>
      </w:tr>
      <w:tr w:rsidR="007B4109" w:rsidTr="007B4109">
        <w:tc>
          <w:tcPr>
            <w:tcW w:w="294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  <w:tc>
          <w:tcPr>
            <w:tcW w:w="49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4109" w:rsidRDefault="007B4109" w:rsidP="007B4109">
            <w:pPr>
              <w:spacing w:after="0" w:line="240" w:lineRule="auto"/>
            </w:pPr>
          </w:p>
        </w:tc>
      </w:tr>
    </w:tbl>
    <w:p w:rsidR="00F528B4" w:rsidRDefault="00F528B4">
      <w:pPr>
        <w:pStyle w:val="Ttulo2"/>
      </w:pPr>
      <w:bookmarkStart w:id="7" w:name="_Toc346134255"/>
      <w:bookmarkEnd w:id="7"/>
    </w:p>
    <w:p w:rsidR="00F528B4" w:rsidRDefault="00F528B4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4122" w:rsidRDefault="002006C7">
      <w:pPr>
        <w:pStyle w:val="Ttulo2"/>
      </w:pPr>
      <w:r>
        <w:lastRenderedPageBreak/>
        <w:t>Padrão de Identificação dos Itens de Configuração</w:t>
      </w: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414122">
        <w:tc>
          <w:tcPr>
            <w:tcW w:w="3936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414122">
        <w:tc>
          <w:tcPr>
            <w:tcW w:w="39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</w:pPr>
            <w:r>
              <w:t>Casos de Uso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</w:pPr>
            <w:r>
              <w:t>UCXX - &lt;Título&gt;</w:t>
            </w:r>
          </w:p>
        </w:tc>
      </w:tr>
      <w:tr w:rsidR="00414122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rPr>
          <w:trHeight w:val="8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3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</w:tbl>
    <w:p w:rsidR="00414122" w:rsidRDefault="002006C7">
      <w:proofErr w:type="gramStart"/>
      <w:r>
        <w:t>&lt;Descrever</w:t>
      </w:r>
      <w:proofErr w:type="gramEnd"/>
      <w:r>
        <w:t xml:space="preserve"> o padrão de identificação dos itens de configuração &gt;</w:t>
      </w:r>
    </w:p>
    <w:p w:rsidR="00414122" w:rsidRDefault="002006C7">
      <w:pPr>
        <w:pStyle w:val="Ttulo2"/>
      </w:pPr>
      <w:bookmarkStart w:id="8" w:name="_Toc346134257"/>
      <w:bookmarkEnd w:id="8"/>
      <w:r>
        <w:t>Localização dos Artefatos</w:t>
      </w:r>
    </w:p>
    <w:p w:rsidR="00414122" w:rsidRDefault="00414122">
      <w:pPr>
        <w:pStyle w:val="Legenda"/>
      </w:pPr>
    </w:p>
    <w:p w:rsidR="00414122" w:rsidRDefault="002006C7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– Localização dos Artefatos</w:t>
      </w:r>
    </w:p>
    <w:p w:rsidR="00414122" w:rsidRDefault="00414122">
      <w:pPr>
        <w:pStyle w:val="Legenda"/>
      </w:pP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376"/>
        <w:gridCol w:w="5482"/>
      </w:tblGrid>
      <w:tr w:rsidR="00414122">
        <w:tc>
          <w:tcPr>
            <w:tcW w:w="2376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5481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414122">
        <w:tc>
          <w:tcPr>
            <w:tcW w:w="23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</w:pPr>
            <w:r>
              <w:t>Projeto/fonte/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java</w:t>
            </w:r>
            <w:proofErr w:type="spellEnd"/>
          </w:p>
        </w:tc>
        <w:tc>
          <w:tcPr>
            <w:tcW w:w="54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</w:pPr>
            <w:r>
              <w:t>Classes</w:t>
            </w:r>
          </w:p>
        </w:tc>
      </w:tr>
      <w:tr w:rsidR="00414122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rPr>
          <w:trHeight w:val="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</w:tbl>
    <w:p w:rsidR="00414122" w:rsidRDefault="002006C7">
      <w:pPr>
        <w:pStyle w:val="Ttulo1"/>
      </w:pPr>
      <w:bookmarkStart w:id="9" w:name="_Toc346134258"/>
      <w:bookmarkEnd w:id="9"/>
      <w:r>
        <w:t>Gerenciamento de Configuração de Ambiente</w:t>
      </w:r>
    </w:p>
    <w:p w:rsidR="00414122" w:rsidRDefault="002006C7">
      <w:pPr>
        <w:pStyle w:val="Ttulo2"/>
      </w:pPr>
      <w:bookmarkStart w:id="10" w:name="_Toc346134259"/>
      <w:bookmarkEnd w:id="10"/>
      <w:r>
        <w:t>Ferramentas de Controle de Versão</w:t>
      </w:r>
    </w:p>
    <w:p w:rsidR="00414122" w:rsidRDefault="002006C7">
      <w:proofErr w:type="gramStart"/>
      <w:r>
        <w:t>&lt;Descreva</w:t>
      </w:r>
      <w:proofErr w:type="gramEnd"/>
      <w:r>
        <w:t xml:space="preserve"> as ferramentas de controle de versão utilizadas, tanto no cliente quanto no servidor&gt;</w:t>
      </w:r>
    </w:p>
    <w:p w:rsidR="00414122" w:rsidRDefault="002006C7">
      <w:pPr>
        <w:pStyle w:val="Ttulo2"/>
      </w:pPr>
      <w:bookmarkStart w:id="11" w:name="_Toc346134260"/>
      <w:bookmarkEnd w:id="11"/>
      <w:r>
        <w:t>Ferramentas de Desenvolvimento Utilizadas</w:t>
      </w:r>
    </w:p>
    <w:p w:rsidR="00414122" w:rsidRDefault="002006C7">
      <w:proofErr w:type="gramStart"/>
      <w:r>
        <w:t>&lt;Descreva</w:t>
      </w:r>
      <w:proofErr w:type="gramEnd"/>
      <w:r>
        <w:t xml:space="preserve"> as ferramentas utilizadas no ambiente de desenvolvimento&gt;</w:t>
      </w:r>
    </w:p>
    <w:p w:rsidR="00414122" w:rsidRDefault="002006C7">
      <w:pPr>
        <w:pStyle w:val="Legenda"/>
      </w:pPr>
      <w:r>
        <w:t xml:space="preserve">Tabela </w:t>
      </w:r>
      <w:r>
        <w:fldChar w:fldCharType="begin"/>
      </w:r>
      <w:r>
        <w:instrText>SEQ Tabe</w:instrText>
      </w:r>
      <w:r>
        <w:instrText>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comgrade"/>
        <w:tblW w:w="80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02"/>
        <w:gridCol w:w="992"/>
        <w:gridCol w:w="2564"/>
      </w:tblGrid>
      <w:tr w:rsidR="00414122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</w:tcBorders>
            <w:shd w:val="clear" w:color="auto" w:fill="auto"/>
          </w:tcPr>
          <w:p w:rsidR="00414122" w:rsidRDefault="002006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414122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rPr>
          <w:trHeight w:val="8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  <w:tr w:rsidR="00414122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4122" w:rsidRDefault="00414122">
            <w:pPr>
              <w:spacing w:after="0" w:line="240" w:lineRule="auto"/>
            </w:pPr>
          </w:p>
        </w:tc>
      </w:tr>
    </w:tbl>
    <w:p w:rsidR="00414122" w:rsidRDefault="00414122"/>
    <w:p w:rsidR="00414122" w:rsidRDefault="002006C7">
      <w:pPr>
        <w:pStyle w:val="Ttulo2"/>
      </w:pPr>
      <w:bookmarkStart w:id="12" w:name="_Toc346134261"/>
      <w:bookmarkEnd w:id="12"/>
      <w:r>
        <w:t>Ambiente de Desenvolvimento</w:t>
      </w:r>
    </w:p>
    <w:p w:rsidR="00414122" w:rsidRDefault="002006C7">
      <w:proofErr w:type="gramStart"/>
      <w:r>
        <w:t>&lt;Descreva</w:t>
      </w:r>
      <w:proofErr w:type="gramEnd"/>
      <w:r>
        <w:t xml:space="preserve"> o ambiente de desenvolvimento softwares e servidores&gt;</w:t>
      </w:r>
    </w:p>
    <w:p w:rsidR="00414122" w:rsidRDefault="002006C7">
      <w:pPr>
        <w:pStyle w:val="Ttulo2"/>
      </w:pPr>
      <w:bookmarkStart w:id="13" w:name="_Toc346134262"/>
      <w:bookmarkEnd w:id="13"/>
      <w:r>
        <w:lastRenderedPageBreak/>
        <w:t>Ambiente de Homologação</w:t>
      </w:r>
    </w:p>
    <w:p w:rsidR="00414122" w:rsidRDefault="002006C7">
      <w:proofErr w:type="gramStart"/>
      <w:r>
        <w:t>&lt;Descreva</w:t>
      </w:r>
      <w:proofErr w:type="gramEnd"/>
      <w:r>
        <w:t xml:space="preserve"> o</w:t>
      </w:r>
      <w:r>
        <w:t xml:space="preserve"> ambiente de homologação softwares e servidores &gt;</w:t>
      </w:r>
    </w:p>
    <w:p w:rsidR="00414122" w:rsidRDefault="002006C7">
      <w:pPr>
        <w:pStyle w:val="Ttulo2"/>
      </w:pPr>
      <w:bookmarkStart w:id="14" w:name="_Toc346134263"/>
      <w:bookmarkEnd w:id="14"/>
      <w:r>
        <w:t>Ambiente de Produção</w:t>
      </w:r>
    </w:p>
    <w:p w:rsidR="00414122" w:rsidRDefault="002006C7">
      <w:proofErr w:type="gramStart"/>
      <w:r>
        <w:t>&lt;Descreva</w:t>
      </w:r>
      <w:proofErr w:type="gramEnd"/>
      <w:r>
        <w:t xml:space="preserve"> o ambiente de produção softwares e servidores &gt;</w:t>
      </w:r>
    </w:p>
    <w:sectPr w:rsidR="0041412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22"/>
    <w:rsid w:val="002006C7"/>
    <w:rsid w:val="00414122"/>
    <w:rsid w:val="007B4109"/>
    <w:rsid w:val="009A3C67"/>
    <w:rsid w:val="00BA5273"/>
    <w:rsid w:val="00F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2C6D7-F741-4882-AB00-9338DFF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A527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375E0-FD22-482B-92B5-F9447EB5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Divisão de Controle de Licenças</cp:lastModifiedBy>
  <cp:revision>2</cp:revision>
  <dcterms:created xsi:type="dcterms:W3CDTF">2016-08-18T01:40:00Z</dcterms:created>
  <dcterms:modified xsi:type="dcterms:W3CDTF">2016-08-18T01:40:00Z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