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00" w:before="0"/>
        <w:jc w:val="center"/>
      </w:pPr>
      <w:r>
        <w:rPr>
          <w:b/>
          <w:bCs/>
          <w:caps/>
          <w:color w:val="2E75B6"/>
          <w:sz w:val="14"/>
          <w:szCs w:val="14"/>
        </w:rPr>
        <w:t xml:space="preserve">BRIEF CONCEPTUAL</w:t>
      </w:r>
    </w:p>
    <w:p>
      <w:pPr>
        <w:jc w:val="center"/>
      </w:pPr>
      <w:r>
        <w:rPr>
          <w:color w:val="1A3A5C"/>
          <w:sz w:val="36"/>
          <w:szCs w:val="36"/>
        </w:rPr>
        <w:t xml:space="preserve">Experiencia interactiva sobre</w:t>
      </w:r>
    </w:p>
    <w:p>
      <w:pPr>
        <w:spacing w:after="160" w:before="0"/>
        <w:jc w:val="center"/>
      </w:pPr>
      <w:r>
        <w:rPr>
          <w:b/>
          <w:bCs/>
          <w:color w:val="1A3A5C"/>
          <w:sz w:val="52"/>
          <w:szCs w:val="52"/>
        </w:rPr>
        <w:t xml:space="preserve">Tecnología y Sociedad</w:t>
      </w:r>
    </w:p>
    <w:p>
      <w:pPr>
        <w:pBdr>
          <w:bottom w:val="single" w:color="2E75B6" w:sz="8" w:space="4"/>
        </w:pBdr>
        <w:spacing w:after="0" w:before="0"/>
        <w:jc w:val="center"/>
      </w:pPr>
      <w:r>
        <w:rPr>
          <w:color w:val="666666"/>
          <w:sz w:val="20"/>
          <w:szCs w:val="20"/>
        </w:rPr>
        <w:t xml:space="preserve">Impacto Digital  •  Primera edición 2027</w:t>
      </w:r>
    </w:p>
    <w:p>
      <w:pPr>
        <w:spacing w:after="60" w:before="60"/>
      </w:pPr>
      <w:r>
        <w:t xml:space="preserve"/>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1. Origen del proyecto</w:t>
      </w:r>
    </w:p>
    <w:p>
      <w:pPr>
        <w:spacing w:after="80" w:before="80"/>
        <w:jc w:val="both"/>
      </w:pPr>
      <w:r>
        <w:rPr>
          <w:color w:val="222222"/>
          <w:sz w:val="22"/>
          <w:szCs w:val="22"/>
        </w:rPr>
        <w:t xml:space="preserve">La idea surge a partir de una visita al Planet Word Museum en Washington D.C., un museo interactivo que evidenció el potencial de los espacios experienciales para acercar temas complejos al público a través de tecnología, narrativa y participación activa.</w:t>
      </w:r>
    </w:p>
    <w:p>
      <w:pPr>
        <w:spacing w:after="60" w:before="60"/>
      </w:pPr>
      <w:r>
        <w:t xml:space="preserve"/>
      </w:r>
    </w:p>
    <w:p>
      <w:pPr>
        <w:spacing w:after="80" w:before="80"/>
        <w:jc w:val="both"/>
      </w:pPr>
      <w:r>
        <w:rPr>
          <w:color w:val="222222"/>
          <w:sz w:val="22"/>
          <w:szCs w:val="22"/>
        </w:rPr>
        <w:t xml:space="preserve">Desde Impacto Digital, esa visita disparó la idea de desarrollar un proyecto propio: una experiencia interactiva, educativa y reflexiva donde el público pueda experimentar, aprender y debatir sobre el rol de la tecnología en los desafíos contemporáneos.</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2. Impacto Digital — Organización impulsora</w:t>
      </w:r>
    </w:p>
    <w:p>
      <w:pPr>
        <w:spacing w:after="80" w:before="80"/>
        <w:jc w:val="both"/>
      </w:pPr>
      <w:r>
        <w:rPr>
          <w:color w:val="222222"/>
          <w:sz w:val="22"/>
          <w:szCs w:val="22"/>
        </w:rPr>
        <w:t xml:space="preserve">Impacto Digital trabaja en la intersección entre tecnología, sociedad y derechos humanos. En este proyecto, la organización será responsable de:</w:t>
      </w:r>
    </w:p>
    <w:p>
      <w:pPr>
        <w:spacing w:after="60" w:before="60"/>
      </w:pPr>
      <w:r>
        <w:t xml:space="preserve"/>
      </w:r>
    </w:p>
    <w:p>
      <w:pPr>
        <w:pStyle w:val="ListParagraph"/>
        <w:numPr>
          <w:ilvl w:val="0"/>
          <w:numId w:val="2"/>
        </w:numPr>
        <w:spacing w:after="40" w:before="40"/>
      </w:pPr>
      <w:r>
        <w:rPr>
          <w:color w:val="333333"/>
          <w:sz w:val="22"/>
          <w:szCs w:val="22"/>
        </w:rPr>
        <w:t xml:space="preserve">Conceptualización y diseño curatorial</w:t>
      </w:r>
    </w:p>
    <w:p>
      <w:pPr>
        <w:pStyle w:val="ListParagraph"/>
        <w:numPr>
          <w:ilvl w:val="0"/>
          <w:numId w:val="2"/>
        </w:numPr>
        <w:spacing w:after="40" w:before="40"/>
      </w:pPr>
      <w:r>
        <w:rPr>
          <w:color w:val="333333"/>
          <w:sz w:val="22"/>
          <w:szCs w:val="22"/>
        </w:rPr>
        <w:t xml:space="preserve">Búsqueda y gestión del financiamiento</w:t>
      </w:r>
    </w:p>
    <w:p>
      <w:pPr>
        <w:pStyle w:val="ListParagraph"/>
        <w:numPr>
          <w:ilvl w:val="0"/>
          <w:numId w:val="2"/>
        </w:numPr>
        <w:spacing w:after="40" w:before="40"/>
      </w:pPr>
      <w:r>
        <w:rPr>
          <w:color w:val="333333"/>
          <w:sz w:val="22"/>
          <w:szCs w:val="22"/>
        </w:rPr>
        <w:t xml:space="preserve">Convocatoria del equipo interdisciplinario</w:t>
      </w:r>
    </w:p>
    <w:p>
      <w:pPr>
        <w:pStyle w:val="ListParagraph"/>
        <w:numPr>
          <w:ilvl w:val="0"/>
          <w:numId w:val="2"/>
        </w:numPr>
        <w:spacing w:after="40" w:before="40"/>
      </w:pPr>
      <w:r>
        <w:rPr>
          <w:color w:val="333333"/>
          <w:sz w:val="22"/>
          <w:szCs w:val="22"/>
        </w:rPr>
        <w:t xml:space="preserve">Coordinación del desarrollo de contenidos</w:t>
      </w:r>
    </w:p>
    <w:p>
      <w:pPr>
        <w:pStyle w:val="ListParagraph"/>
        <w:numPr>
          <w:ilvl w:val="0"/>
          <w:numId w:val="2"/>
        </w:numPr>
        <w:spacing w:after="40" w:before="40"/>
      </w:pPr>
      <w:r>
        <w:rPr>
          <w:color w:val="333333"/>
          <w:sz w:val="22"/>
          <w:szCs w:val="22"/>
        </w:rPr>
        <w:t xml:space="preserve">Producción y montaje de la muestra</w:t>
      </w:r>
    </w:p>
    <w:p>
      <w:pPr>
        <w:pStyle w:val="ListParagraph"/>
        <w:numPr>
          <w:ilvl w:val="0"/>
          <w:numId w:val="2"/>
        </w:numPr>
        <w:spacing w:after="40" w:before="40"/>
      </w:pPr>
      <w:r>
        <w:rPr>
          <w:color w:val="333333"/>
          <w:sz w:val="22"/>
          <w:szCs w:val="22"/>
        </w:rPr>
        <w:t xml:space="preserve">Implementación del programa educativo asociado</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3. Naturaleza del proyecto</w:t>
      </w:r>
    </w:p>
    <w:p>
      <w:pPr>
        <w:spacing w:after="80" w:before="80"/>
        <w:jc w:val="both"/>
      </w:pPr>
      <w:r>
        <w:rPr>
          <w:color w:val="222222"/>
          <w:sz w:val="22"/>
          <w:szCs w:val="22"/>
        </w:rPr>
        <w:t xml:space="preserve">Una exposición interactiva temporal que combina instalaciones tecnológicas, experiencias educativas y reflexión pública sobre el rol de la tecnología en distintos aspectos de la vida social.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il"/>
              <w:left w:val="nil"/>
              <w:bottom w:val="nil"/>
              <w:right w:val="nil"/>
            </w:tcBorders>
            <w:shd w:fill="E8F0F8" w:val="clear"/>
            <w:tcMar>
              <w:top w:type="dxa" w:w="100"/>
              <w:left w:type="dxa" w:w="200"/>
              <w:bottom w:type="dxa" w:w="100"/>
              <w:right w:type="dxa" w:w="100"/>
            </w:tcMar>
          </w:tcPr>
          <w:p>
            <w:r>
              <w:rPr>
                <w:b/>
                <w:bCs/>
                <w:color w:val="1A3A5C"/>
                <w:sz w:val="22"/>
                <w:szCs w:val="22"/>
              </w:rPr>
              <w:t xml:space="preserve">Formato:</w:t>
            </w:r>
          </w:p>
        </w:tc>
        <w:tc>
          <w:tcPr>
            <w:tcW w:type="dxa" w:w="6626"/>
            <w:tcBorders>
              <w:top w:val="nil"/>
              <w:left w:val="nil"/>
              <w:bottom w:val="nil"/>
              <w:right w:val="nil"/>
            </w:tcBorders>
            <w:shd w:fill="E8F0F8" w:val="clear"/>
            <w:tcMar>
              <w:top w:type="dxa" w:w="100"/>
              <w:left w:type="dxa" w:w="100"/>
              <w:bottom w:type="dxa" w:w="100"/>
              <w:right w:type="dxa" w:w="200"/>
            </w:tcMar>
          </w:tcPr>
          <w:p>
            <w:r>
              <w:rPr>
                <w:color w:val="333333"/>
                <w:sz w:val="22"/>
                <w:szCs w:val="22"/>
              </w:rPr>
              <w:t xml:space="preserve">Exposición interactiva temporal</w:t>
            </w:r>
          </w:p>
        </w:tc>
      </w:tr>
      <w:tr>
        <w:tc>
          <w:tcPr>
            <w:tcW w:type="dxa" w:w="2400"/>
            <w:tcBorders>
              <w:top w:val="nil"/>
              <w:left w:val="nil"/>
              <w:bottom w:val="nil"/>
              <w:right w:val="nil"/>
            </w:tcBorders>
            <w:shd w:fill="E8F0F8" w:val="clear"/>
            <w:tcMar>
              <w:top w:type="dxa" w:w="100"/>
              <w:left w:type="dxa" w:w="200"/>
              <w:bottom w:type="dxa" w:w="100"/>
              <w:right w:type="dxa" w:w="100"/>
            </w:tcMar>
          </w:tcPr>
          <w:p>
            <w:r>
              <w:rPr>
                <w:b/>
                <w:bCs/>
                <w:color w:val="1A3A5C"/>
                <w:sz w:val="22"/>
                <w:szCs w:val="22"/>
              </w:rPr>
              <w:t xml:space="preserve">Duración:</w:t>
            </w:r>
          </w:p>
        </w:tc>
        <w:tc>
          <w:tcPr>
            <w:tcW w:type="dxa" w:w="6626"/>
            <w:tcBorders>
              <w:top w:val="nil"/>
              <w:left w:val="nil"/>
              <w:bottom w:val="nil"/>
              <w:right w:val="nil"/>
            </w:tcBorders>
            <w:shd w:fill="E8F0F8" w:val="clear"/>
            <w:tcMar>
              <w:top w:type="dxa" w:w="100"/>
              <w:left w:type="dxa" w:w="100"/>
              <w:bottom w:type="dxa" w:w="100"/>
              <w:right w:type="dxa" w:w="200"/>
            </w:tcMar>
          </w:tcPr>
          <w:p>
            <w:r>
              <w:rPr>
                <w:color w:val="333333"/>
                <w:sz w:val="22"/>
                <w:szCs w:val="22"/>
              </w:rPr>
              <w:t xml:space="preserve">Aproximadamente 1 mes</w:t>
            </w:r>
          </w:p>
        </w:tc>
      </w:tr>
      <w:tr>
        <w:tc>
          <w:tcPr>
            <w:tcW w:type="dxa" w:w="2400"/>
            <w:tcBorders>
              <w:top w:val="nil"/>
              <w:left w:val="nil"/>
              <w:bottom w:val="nil"/>
              <w:right w:val="nil"/>
            </w:tcBorders>
            <w:shd w:fill="E8F0F8" w:val="clear"/>
            <w:tcMar>
              <w:top w:type="dxa" w:w="100"/>
              <w:left w:type="dxa" w:w="200"/>
              <w:bottom w:type="dxa" w:w="100"/>
              <w:right w:type="dxa" w:w="100"/>
            </w:tcMar>
          </w:tcPr>
          <w:p>
            <w:r>
              <w:rPr>
                <w:b/>
                <w:bCs/>
                <w:color w:val="1A3A5C"/>
                <w:sz w:val="22"/>
                <w:szCs w:val="22"/>
              </w:rPr>
              <w:t xml:space="preserve">Primera edición:</w:t>
            </w:r>
          </w:p>
        </w:tc>
        <w:tc>
          <w:tcPr>
            <w:tcW w:type="dxa" w:w="6626"/>
            <w:tcBorders>
              <w:top w:val="nil"/>
              <w:left w:val="nil"/>
              <w:bottom w:val="nil"/>
              <w:right w:val="nil"/>
            </w:tcBorders>
            <w:shd w:fill="E8F0F8" w:val="clear"/>
            <w:tcMar>
              <w:top w:type="dxa" w:w="100"/>
              <w:left w:type="dxa" w:w="100"/>
              <w:bottom w:type="dxa" w:w="100"/>
              <w:right w:type="dxa" w:w="200"/>
            </w:tcMar>
          </w:tcPr>
          <w:p>
            <w:r>
              <w:rPr>
                <w:color w:val="333333"/>
                <w:sz w:val="22"/>
                <w:szCs w:val="22"/>
              </w:rPr>
              <w:t xml:space="preserve">2027</w:t>
            </w:r>
          </w:p>
        </w:tc>
      </w:tr>
      <w:tr>
        <w:tc>
          <w:tcPr>
            <w:tcW w:type="dxa" w:w="2400"/>
            <w:tcBorders>
              <w:top w:val="nil"/>
              <w:left w:val="nil"/>
              <w:bottom w:val="nil"/>
              <w:right w:val="nil"/>
            </w:tcBorders>
            <w:shd w:fill="E8F0F8" w:val="clear"/>
            <w:tcMar>
              <w:top w:type="dxa" w:w="100"/>
              <w:left w:type="dxa" w:w="200"/>
              <w:bottom w:type="dxa" w:w="100"/>
              <w:right w:type="dxa" w:w="100"/>
            </w:tcMar>
          </w:tcPr>
          <w:p>
            <w:r>
              <w:rPr>
                <w:b/>
                <w:bCs/>
                <w:color w:val="1A3A5C"/>
                <w:sz w:val="22"/>
                <w:szCs w:val="22"/>
              </w:rPr>
              <w:t xml:space="preserve">Recorrido:</w:t>
            </w:r>
          </w:p>
        </w:tc>
        <w:tc>
          <w:tcPr>
            <w:tcW w:type="dxa" w:w="6626"/>
            <w:tcBorders>
              <w:top w:val="nil"/>
              <w:left w:val="nil"/>
              <w:bottom w:val="nil"/>
              <w:right w:val="nil"/>
            </w:tcBorders>
            <w:shd w:fill="E8F0F8" w:val="clear"/>
            <w:tcMar>
              <w:top w:type="dxa" w:w="100"/>
              <w:left w:type="dxa" w:w="100"/>
              <w:bottom w:type="dxa" w:w="100"/>
              <w:right w:type="dxa" w:w="200"/>
            </w:tcMar>
          </w:tcPr>
          <w:p>
            <w:r>
              <w:rPr>
                <w:color w:val="333333"/>
                <w:sz w:val="22"/>
                <w:szCs w:val="22"/>
              </w:rPr>
              <w:t xml:space="preserve">Aproximadamente 1 hora</w:t>
            </w:r>
          </w:p>
        </w:tc>
      </w:tr>
    </w:tbl>
    <w:p>
      <w:pPr>
        <w:spacing w:after="60" w:before="60"/>
      </w:pPr>
      <w:r>
        <w:t xml:space="preserve"/>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4. Formato y programación</w:t>
      </w:r>
    </w:p>
    <w:p>
      <w:pPr>
        <w:pStyle w:val="Heading2"/>
        <w:spacing w:after="120" w:before="280"/>
      </w:pPr>
      <w:r>
        <w:rPr>
          <w:b/>
          <w:bCs/>
          <w:color w:val="2E75B6"/>
          <w:sz w:val="24"/>
          <w:szCs w:val="24"/>
        </w:rPr>
        <w:t xml:space="preserve">Viernes — Ciclo educativo</w:t>
      </w:r>
    </w:p>
    <w:p>
      <w:pPr>
        <w:pStyle w:val="ListParagraph"/>
        <w:numPr>
          <w:ilvl w:val="0"/>
          <w:numId w:val="2"/>
        </w:numPr>
        <w:spacing w:after="40" w:before="40"/>
      </w:pPr>
      <w:r>
        <w:rPr>
          <w:color w:val="333333"/>
          <w:sz w:val="22"/>
          <w:szCs w:val="22"/>
        </w:rPr>
        <w:t xml:space="preserve">Visitas guiadas para escuelas y colegios secundarios</w:t>
      </w:r>
    </w:p>
    <w:p>
      <w:pPr>
        <w:pStyle w:val="ListParagraph"/>
        <w:numPr>
          <w:ilvl w:val="0"/>
          <w:numId w:val="2"/>
        </w:numPr>
        <w:spacing w:after="40" w:before="40"/>
      </w:pPr>
      <w:r>
        <w:rPr>
          <w:color w:val="333333"/>
          <w:sz w:val="22"/>
          <w:szCs w:val="22"/>
        </w:rPr>
        <w:t xml:space="preserve">Actividades pedagógicas estructuradas</w:t>
      </w:r>
    </w:p>
    <w:p>
      <w:pPr>
        <w:pStyle w:val="ListParagraph"/>
        <w:numPr>
          <w:ilvl w:val="0"/>
          <w:numId w:val="2"/>
        </w:numPr>
        <w:spacing w:after="40" w:before="40"/>
      </w:pPr>
      <w:r>
        <w:rPr>
          <w:color w:val="333333"/>
          <w:sz w:val="22"/>
          <w:szCs w:val="22"/>
        </w:rPr>
        <w:t xml:space="preserve">Recorridos con mediadores especializados</w:t>
      </w:r>
    </w:p>
    <w:p>
      <w:pPr>
        <w:spacing w:after="60" w:before="60"/>
      </w:pPr>
      <w:r>
        <w:t xml:space="preserve"/>
      </w:r>
    </w:p>
    <w:p>
      <w:pPr>
        <w:pStyle w:val="Heading2"/>
        <w:spacing w:after="120" w:before="280"/>
      </w:pPr>
      <w:r>
        <w:rPr>
          <w:b/>
          <w:bCs/>
          <w:color w:val="2E75B6"/>
          <w:sz w:val="24"/>
          <w:szCs w:val="24"/>
        </w:rPr>
        <w:t xml:space="preserve">Sábados — Apertura al público general</w:t>
      </w:r>
    </w:p>
    <w:p>
      <w:pPr>
        <w:pStyle w:val="ListParagraph"/>
        <w:numPr>
          <w:ilvl w:val="0"/>
          <w:numId w:val="2"/>
        </w:numPr>
        <w:spacing w:after="40" w:before="40"/>
      </w:pPr>
      <w:r>
        <w:rPr>
          <w:color w:val="333333"/>
          <w:sz w:val="22"/>
          <w:szCs w:val="22"/>
        </w:rPr>
        <w:t xml:space="preserve">Acceso libre a la exposición</w:t>
      </w:r>
    </w:p>
    <w:p>
      <w:pPr>
        <w:pStyle w:val="ListParagraph"/>
        <w:numPr>
          <w:ilvl w:val="0"/>
          <w:numId w:val="2"/>
        </w:numPr>
        <w:spacing w:after="40" w:before="40"/>
      </w:pPr>
      <w:r>
        <w:rPr>
          <w:color w:val="333333"/>
          <w:sz w:val="22"/>
          <w:szCs w:val="22"/>
        </w:rPr>
        <w:t xml:space="preserve">Paneles de conversación con especialistas</w:t>
      </w:r>
    </w:p>
    <w:p>
      <w:pPr>
        <w:pStyle w:val="ListParagraph"/>
        <w:numPr>
          <w:ilvl w:val="0"/>
          <w:numId w:val="2"/>
        </w:numPr>
        <w:spacing w:after="40" w:before="40"/>
      </w:pPr>
      <w:r>
        <w:rPr>
          <w:color w:val="333333"/>
          <w:sz w:val="22"/>
          <w:szCs w:val="22"/>
        </w:rPr>
        <w:t xml:space="preserve">Charlas y conferencias</w:t>
      </w:r>
    </w:p>
    <w:p>
      <w:pPr>
        <w:pStyle w:val="ListParagraph"/>
        <w:numPr>
          <w:ilvl w:val="0"/>
          <w:numId w:val="2"/>
        </w:numPr>
        <w:spacing w:after="40" w:before="40"/>
      </w:pPr>
      <w:r>
        <w:rPr>
          <w:color w:val="333333"/>
          <w:sz w:val="22"/>
          <w:szCs w:val="22"/>
        </w:rPr>
        <w:t xml:space="preserve">Actividades participativas abiertas</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5. Estructura de la muestra</w:t>
      </w:r>
    </w:p>
    <w:p>
      <w:pPr>
        <w:spacing w:after="80" w:before="80"/>
        <w:jc w:val="both"/>
      </w:pPr>
      <w:r>
        <w:rPr>
          <w:color w:val="222222"/>
          <w:sz w:val="22"/>
          <w:szCs w:val="22"/>
        </w:rPr>
        <w:t xml:space="preserve">La exposición se organizará en 4 salas o estaciones temáticas. Cada sala contará con experiencias tecnológicas interactivas desarrolladas en colaboración con especialistas en tecnología, diseño interactivo y visualización de datos.</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6. Posibles enfoques conceptuales</w:t>
      </w:r>
    </w:p>
    <w:p>
      <w:pPr>
        <w:spacing w:after="80" w:before="80"/>
        <w:jc w:val="both"/>
      </w:pPr>
      <w:r>
        <w:rPr>
          <w:color w:val="222222"/>
          <w:sz w:val="22"/>
          <w:szCs w:val="22"/>
        </w:rPr>
        <w:t xml:space="preserve">Se plantean tres líneas para definir el eje central de la muestra. La elección determinará el tono, los contenidos y el diseño de cada sala.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il"/>
              <w:left w:val="nil"/>
              <w:bottom w:val="nil"/>
              <w:right w:val="nil"/>
            </w:tcBorders>
            <w:shd w:fill="2E75B6" w:val="clear"/>
            <w:tcMar>
              <w:top w:type="dxa" w:w="120"/>
              <w:left w:type="dxa" w:w="160"/>
              <w:bottom w:type="dxa" w:w="120"/>
              <w:right w:type="dxa" w:w="160"/>
            </w:tcMar>
            <w:vAlign w:val="center"/>
          </w:tcPr>
          <w:p>
            <w:pPr>
              <w:jc w:val="center"/>
            </w:pPr>
            <w:r>
              <w:rPr>
                <w:b/>
                <w:bCs/>
                <w:color w:val="FFFFFF"/>
                <w:sz w:val="20"/>
                <w:szCs w:val="20"/>
              </w:rPr>
              <w:t xml:space="preserve">Opción 1</w:t>
            </w:r>
          </w:p>
          <w:p>
            <w:pPr>
              <w:jc w:val="center"/>
            </w:pPr>
            <w:r>
              <w:rPr>
                <w:b/>
                <w:bCs/>
                <w:color w:val="D0DEFF"/>
                <w:sz w:val="18"/>
                <w:szCs w:val="18"/>
              </w:rPr>
              <w:t xml:space="preserve">La tecnología como tema</w:t>
            </w:r>
          </w:p>
        </w:tc>
        <w:tc>
          <w:tcPr>
            <w:tcW w:type="dxa" w:w="7226"/>
            <w:tcBorders>
              <w:top w:val="nil"/>
              <w:left w:val="nil"/>
              <w:bottom w:val="nil"/>
              <w:right w:val="nil"/>
            </w:tcBorders>
            <w:shd w:fill="F2F6FB" w:val="clear"/>
            <w:tcMar>
              <w:top w:type="dxa" w:w="100"/>
              <w:left w:type="dxa" w:w="200"/>
              <w:bottom w:type="dxa" w:w="100"/>
              <w:right w:type="dxa" w:w="120"/>
            </w:tcMar>
          </w:tcPr>
          <w:p>
            <w:pPr>
              <w:pStyle w:val="ListParagraph"/>
              <w:numPr>
                <w:ilvl w:val="0"/>
                <w:numId w:val="2"/>
              </w:numPr>
              <w:spacing w:after="30" w:before="30"/>
            </w:pPr>
            <w:r>
              <w:rPr>
                <w:color w:val="333333"/>
                <w:sz w:val="20"/>
                <w:szCs w:val="20"/>
              </w:rPr>
              <w:t xml:space="preserve">Inteligencia artificial y algoritmos</w:t>
            </w:r>
          </w:p>
          <w:p>
            <w:pPr>
              <w:pStyle w:val="ListParagraph"/>
              <w:numPr>
                <w:ilvl w:val="0"/>
                <w:numId w:val="2"/>
              </w:numPr>
              <w:spacing w:after="30" w:before="30"/>
            </w:pPr>
            <w:r>
              <w:rPr>
                <w:color w:val="333333"/>
                <w:sz w:val="20"/>
                <w:szCs w:val="20"/>
              </w:rPr>
              <w:t xml:space="preserve">Redes sociales y comportamiento</w:t>
            </w:r>
          </w:p>
          <w:p>
            <w:pPr>
              <w:pStyle w:val="ListParagraph"/>
              <w:numPr>
                <w:ilvl w:val="0"/>
                <w:numId w:val="2"/>
              </w:numPr>
              <w:spacing w:after="30" w:before="30"/>
            </w:pPr>
            <w:r>
              <w:rPr>
                <w:color w:val="333333"/>
                <w:sz w:val="20"/>
                <w:szCs w:val="20"/>
              </w:rPr>
              <w:t xml:space="preserve">Datos y privacidad</w:t>
            </w:r>
          </w:p>
          <w:p>
            <w:pPr>
              <w:pStyle w:val="ListParagraph"/>
              <w:numPr>
                <w:ilvl w:val="0"/>
                <w:numId w:val="2"/>
              </w:numPr>
              <w:spacing w:after="30" w:before="30"/>
            </w:pPr>
            <w:r>
              <w:rPr>
                <w:color w:val="333333"/>
                <w:sz w:val="20"/>
                <w:szCs w:val="20"/>
              </w:rPr>
              <w:t xml:space="preserve">Desinformación y ecosistemas informativos</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il"/>
              <w:left w:val="nil"/>
              <w:bottom w:val="nil"/>
              <w:right w:val="nil"/>
            </w:tcBorders>
            <w:shd w:fill="2E75B6" w:val="clear"/>
            <w:tcMar>
              <w:top w:type="dxa" w:w="120"/>
              <w:left w:type="dxa" w:w="160"/>
              <w:bottom w:type="dxa" w:w="120"/>
              <w:right w:type="dxa" w:w="160"/>
            </w:tcMar>
            <w:vAlign w:val="center"/>
          </w:tcPr>
          <w:p>
            <w:pPr>
              <w:jc w:val="center"/>
            </w:pPr>
            <w:r>
              <w:rPr>
                <w:b/>
                <w:bCs/>
                <w:color w:val="FFFFFF"/>
                <w:sz w:val="20"/>
                <w:szCs w:val="20"/>
              </w:rPr>
              <w:t xml:space="preserve">Opción 2</w:t>
            </w:r>
          </w:p>
          <w:p>
            <w:pPr>
              <w:jc w:val="center"/>
            </w:pPr>
            <w:r>
              <w:rPr>
                <w:b/>
                <w:bCs/>
                <w:color w:val="D0DEFF"/>
                <w:sz w:val="18"/>
                <w:szCs w:val="18"/>
              </w:rPr>
              <w:t xml:space="preserve">La tecnología como lente</w:t>
            </w:r>
          </w:p>
        </w:tc>
        <w:tc>
          <w:tcPr>
            <w:tcW w:type="dxa" w:w="7226"/>
            <w:tcBorders>
              <w:top w:val="nil"/>
              <w:left w:val="nil"/>
              <w:bottom w:val="nil"/>
              <w:right w:val="nil"/>
            </w:tcBorders>
            <w:shd w:fill="F2F6FB" w:val="clear"/>
            <w:tcMar>
              <w:top w:type="dxa" w:w="100"/>
              <w:left w:type="dxa" w:w="200"/>
              <w:bottom w:type="dxa" w:w="100"/>
              <w:right w:type="dxa" w:w="120"/>
            </w:tcMar>
          </w:tcPr>
          <w:p>
            <w:pPr>
              <w:pStyle w:val="ListParagraph"/>
              <w:numPr>
                <w:ilvl w:val="0"/>
                <w:numId w:val="2"/>
              </w:numPr>
              <w:spacing w:after="30" w:before="30"/>
            </w:pPr>
            <w:r>
              <w:rPr>
                <w:color w:val="333333"/>
                <w:sz w:val="20"/>
                <w:szCs w:val="20"/>
              </w:rPr>
              <w:t xml:space="preserve">Tecnología y democracia</w:t>
            </w:r>
          </w:p>
          <w:p>
            <w:pPr>
              <w:pStyle w:val="ListParagraph"/>
              <w:numPr>
                <w:ilvl w:val="0"/>
                <w:numId w:val="2"/>
              </w:numPr>
              <w:spacing w:after="30" w:before="30"/>
            </w:pPr>
            <w:r>
              <w:rPr>
                <w:color w:val="333333"/>
                <w:sz w:val="20"/>
                <w:szCs w:val="20"/>
              </w:rPr>
              <w:t xml:space="preserve">Tecnología y cambio climático</w:t>
            </w:r>
          </w:p>
          <w:p>
            <w:pPr>
              <w:pStyle w:val="ListParagraph"/>
              <w:numPr>
                <w:ilvl w:val="0"/>
                <w:numId w:val="2"/>
              </w:numPr>
              <w:spacing w:after="30" w:before="30"/>
            </w:pPr>
            <w:r>
              <w:rPr>
                <w:color w:val="333333"/>
                <w:sz w:val="20"/>
                <w:szCs w:val="20"/>
              </w:rPr>
              <w:t xml:space="preserve">Tecnología y género</w:t>
            </w:r>
          </w:p>
          <w:p>
            <w:pPr>
              <w:pStyle w:val="ListParagraph"/>
              <w:numPr>
                <w:ilvl w:val="0"/>
                <w:numId w:val="2"/>
              </w:numPr>
              <w:spacing w:after="30" w:before="30"/>
            </w:pPr>
            <w:r>
              <w:rPr>
                <w:color w:val="333333"/>
                <w:sz w:val="20"/>
                <w:szCs w:val="20"/>
              </w:rPr>
              <w:t xml:space="preserve">Tecnología y salud / educación</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il"/>
              <w:left w:val="nil"/>
              <w:bottom w:val="nil"/>
              <w:right w:val="nil"/>
            </w:tcBorders>
            <w:shd w:fill="2E75B6" w:val="clear"/>
            <w:tcMar>
              <w:top w:type="dxa" w:w="120"/>
              <w:left w:type="dxa" w:w="160"/>
              <w:bottom w:type="dxa" w:w="120"/>
              <w:right w:type="dxa" w:w="160"/>
            </w:tcMar>
            <w:vAlign w:val="center"/>
          </w:tcPr>
          <w:p>
            <w:pPr>
              <w:jc w:val="center"/>
            </w:pPr>
            <w:r>
              <w:rPr>
                <w:b/>
                <w:bCs/>
                <w:color w:val="FFFFFF"/>
                <w:sz w:val="20"/>
                <w:szCs w:val="20"/>
              </w:rPr>
              <w:t xml:space="preserve">Opción 3</w:t>
            </w:r>
          </w:p>
          <w:p>
            <w:pPr>
              <w:jc w:val="center"/>
            </w:pPr>
            <w:r>
              <w:rPr>
                <w:b/>
                <w:bCs/>
                <w:color w:val="D0DEFF"/>
                <w:sz w:val="18"/>
                <w:szCs w:val="18"/>
              </w:rPr>
              <w:t xml:space="preserve">Futuros tecnológicos</w:t>
            </w:r>
          </w:p>
        </w:tc>
        <w:tc>
          <w:tcPr>
            <w:tcW w:type="dxa" w:w="7226"/>
            <w:tcBorders>
              <w:top w:val="nil"/>
              <w:left w:val="nil"/>
              <w:bottom w:val="nil"/>
              <w:right w:val="nil"/>
            </w:tcBorders>
            <w:shd w:fill="F2F6FB" w:val="clear"/>
            <w:tcMar>
              <w:top w:type="dxa" w:w="100"/>
              <w:left w:type="dxa" w:w="200"/>
              <w:bottom w:type="dxa" w:w="100"/>
              <w:right w:type="dxa" w:w="120"/>
            </w:tcMar>
          </w:tcPr>
          <w:p>
            <w:pPr>
              <w:pStyle w:val="ListParagraph"/>
              <w:numPr>
                <w:ilvl w:val="0"/>
                <w:numId w:val="2"/>
              </w:numPr>
              <w:spacing w:after="30" w:before="30"/>
            </w:pPr>
            <w:r>
              <w:rPr>
                <w:color w:val="333333"/>
                <w:sz w:val="20"/>
                <w:szCs w:val="20"/>
              </w:rPr>
              <w:t xml:space="preserve">Inteligencia artificial y automatización</w:t>
            </w:r>
          </w:p>
          <w:p>
            <w:pPr>
              <w:pStyle w:val="ListParagraph"/>
              <w:numPr>
                <w:ilvl w:val="0"/>
                <w:numId w:val="2"/>
              </w:numPr>
              <w:spacing w:after="30" w:before="30"/>
            </w:pPr>
            <w:r>
              <w:rPr>
                <w:color w:val="333333"/>
                <w:sz w:val="20"/>
                <w:szCs w:val="20"/>
              </w:rPr>
              <w:t xml:space="preserve">Tecnologías emergentes</w:t>
            </w:r>
          </w:p>
          <w:p>
            <w:pPr>
              <w:pStyle w:val="ListParagraph"/>
              <w:numPr>
                <w:ilvl w:val="0"/>
                <w:numId w:val="2"/>
              </w:numPr>
              <w:spacing w:after="30" w:before="30"/>
            </w:pPr>
            <w:r>
              <w:rPr>
                <w:color w:val="333333"/>
                <w:sz w:val="20"/>
                <w:szCs w:val="20"/>
              </w:rPr>
              <w:t xml:space="preserve">Impacto social de la innovación</w:t>
            </w:r>
          </w:p>
          <w:p>
            <w:pPr>
              <w:pStyle w:val="ListParagraph"/>
              <w:numPr>
                <w:ilvl w:val="0"/>
                <w:numId w:val="2"/>
              </w:numPr>
              <w:spacing w:after="30" w:before="30"/>
            </w:pPr>
            <w:r>
              <w:rPr>
                <w:color w:val="333333"/>
                <w:sz w:val="20"/>
                <w:szCs w:val="20"/>
              </w:rPr>
              <w:t xml:space="preserve">Escenarios posibles y desafíos globales</w:t>
            </w:r>
          </w:p>
        </w:tc>
      </w:tr>
    </w:tbl>
    <w:p>
      <w:pPr>
        <w:spacing w:after="60" w:before="60"/>
      </w:pPr>
      <w:r>
        <w:t xml:space="preserve"/>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7. Experiencias e instalaciones</w:t>
      </w:r>
    </w:p>
    <w:p>
      <w:pPr>
        <w:spacing w:after="80" w:before="80"/>
        <w:jc w:val="both"/>
      </w:pPr>
      <w:r>
        <w:rPr>
          <w:color w:val="222222"/>
          <w:sz w:val="22"/>
          <w:szCs w:val="22"/>
        </w:rPr>
        <w:t xml:space="preserve">Cada sala incluirá al menos una instalación de alto nivel. Las tecnologías previstas incluyen:</w:t>
      </w:r>
    </w:p>
    <w:p>
      <w:pPr>
        <w:spacing w:after="60" w:before="60"/>
      </w:pPr>
      <w:r>
        <w:t xml:space="preserve"/>
      </w:r>
    </w:p>
    <w:p>
      <w:pPr>
        <w:pStyle w:val="ListParagraph"/>
        <w:numPr>
          <w:ilvl w:val="0"/>
          <w:numId w:val="2"/>
        </w:numPr>
        <w:spacing w:after="40" w:before="40"/>
      </w:pPr>
      <w:r>
        <w:rPr>
          <w:color w:val="333333"/>
          <w:sz w:val="22"/>
          <w:szCs w:val="22"/>
        </w:rPr>
        <w:t xml:space="preserve">Visualización de datos interactiva</w:t>
      </w:r>
    </w:p>
    <w:p>
      <w:pPr>
        <w:pStyle w:val="ListParagraph"/>
        <w:numPr>
          <w:ilvl w:val="0"/>
          <w:numId w:val="2"/>
        </w:numPr>
        <w:spacing w:after="40" w:before="40"/>
      </w:pPr>
      <w:r>
        <w:rPr>
          <w:color w:val="333333"/>
          <w:sz w:val="22"/>
          <w:szCs w:val="22"/>
        </w:rPr>
        <w:t xml:space="preserve">Simulaciones digitales</w:t>
      </w:r>
    </w:p>
    <w:p>
      <w:pPr>
        <w:pStyle w:val="ListParagraph"/>
        <w:numPr>
          <w:ilvl w:val="0"/>
          <w:numId w:val="2"/>
        </w:numPr>
        <w:spacing w:after="40" w:before="40"/>
      </w:pPr>
      <w:r>
        <w:rPr>
          <w:color w:val="333333"/>
          <w:sz w:val="22"/>
          <w:szCs w:val="22"/>
        </w:rPr>
        <w:t xml:space="preserve">Inteligencia artificial aplicada</w:t>
      </w:r>
    </w:p>
    <w:p>
      <w:pPr>
        <w:pStyle w:val="ListParagraph"/>
        <w:numPr>
          <w:ilvl w:val="0"/>
          <w:numId w:val="2"/>
        </w:numPr>
        <w:spacing w:after="40" w:before="40"/>
      </w:pPr>
      <w:r>
        <w:rPr>
          <w:color w:val="333333"/>
          <w:sz w:val="22"/>
          <w:szCs w:val="22"/>
        </w:rPr>
        <w:t xml:space="preserve">Sensores e interfaces participativas</w:t>
      </w:r>
    </w:p>
    <w:p>
      <w:pPr>
        <w:pStyle w:val="ListParagraph"/>
        <w:numPr>
          <w:ilvl w:val="0"/>
          <w:numId w:val="2"/>
        </w:numPr>
        <w:spacing w:after="40" w:before="40"/>
      </w:pPr>
      <w:r>
        <w:rPr>
          <w:color w:val="333333"/>
          <w:sz w:val="22"/>
          <w:szCs w:val="22"/>
        </w:rPr>
        <w:t xml:space="preserve">Experiencias inmersivas</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8. Público objetivo</w:t>
      </w:r>
    </w:p>
    <w:p>
      <w:pPr>
        <w:pStyle w:val="ListParagraph"/>
        <w:numPr>
          <w:ilvl w:val="0"/>
          <w:numId w:val="2"/>
        </w:numPr>
        <w:spacing w:after="40" w:before="40"/>
      </w:pPr>
      <w:r>
        <w:rPr>
          <w:color w:val="333333"/>
          <w:sz w:val="22"/>
          <w:szCs w:val="22"/>
        </w:rPr>
        <w:t xml:space="preserve">Estudiantes de nivel secundario</w:t>
      </w:r>
    </w:p>
    <w:p>
      <w:pPr>
        <w:pStyle w:val="ListParagraph"/>
        <w:numPr>
          <w:ilvl w:val="0"/>
          <w:numId w:val="2"/>
        </w:numPr>
        <w:spacing w:after="40" w:before="40"/>
      </w:pPr>
      <w:r>
        <w:rPr>
          <w:color w:val="333333"/>
          <w:sz w:val="22"/>
          <w:szCs w:val="22"/>
        </w:rPr>
        <w:t xml:space="preserve">Docentes y educadores</w:t>
      </w:r>
    </w:p>
    <w:p>
      <w:pPr>
        <w:pStyle w:val="ListParagraph"/>
        <w:numPr>
          <w:ilvl w:val="0"/>
          <w:numId w:val="2"/>
        </w:numPr>
        <w:spacing w:after="40" w:before="40"/>
      </w:pPr>
      <w:r>
        <w:rPr>
          <w:color w:val="333333"/>
          <w:sz w:val="22"/>
          <w:szCs w:val="22"/>
        </w:rPr>
        <w:t xml:space="preserve">Público adulto interesado en tecnología y sociedad</w:t>
      </w:r>
    </w:p>
    <w:p>
      <w:pPr>
        <w:pStyle w:val="ListParagraph"/>
        <w:numPr>
          <w:ilvl w:val="0"/>
          <w:numId w:val="2"/>
        </w:numPr>
        <w:spacing w:after="40" w:before="40"/>
      </w:pPr>
      <w:r>
        <w:rPr>
          <w:color w:val="333333"/>
          <w:sz w:val="22"/>
          <w:szCs w:val="22"/>
        </w:rPr>
        <w:t xml:space="preserve">Profesionales del sector tecnológico</w:t>
      </w:r>
    </w:p>
    <w:p>
      <w:pPr>
        <w:pStyle w:val="ListParagraph"/>
        <w:numPr>
          <w:ilvl w:val="0"/>
          <w:numId w:val="2"/>
        </w:numPr>
        <w:spacing w:after="40" w:before="40"/>
      </w:pPr>
      <w:r>
        <w:rPr>
          <w:color w:val="333333"/>
          <w:sz w:val="22"/>
          <w:szCs w:val="22"/>
        </w:rPr>
        <w:t xml:space="preserve">Personas interesadas en políticas públicas y derechos digitales</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9. Componente educativo</w:t>
      </w:r>
    </w:p>
    <w:p>
      <w:pPr>
        <w:spacing w:after="80" w:before="80"/>
        <w:jc w:val="both"/>
      </w:pPr>
      <w:r>
        <w:rPr>
          <w:color w:val="222222"/>
          <w:sz w:val="22"/>
          <w:szCs w:val="22"/>
        </w:rPr>
        <w:t xml:space="preserve">El programa educativo es parte central del proyecto e incluye:</w:t>
      </w:r>
    </w:p>
    <w:p>
      <w:pPr>
        <w:spacing w:after="60" w:before="60"/>
      </w:pPr>
      <w:r>
        <w:t xml:space="preserve"/>
      </w:r>
    </w:p>
    <w:p>
      <w:pPr>
        <w:pStyle w:val="ListParagraph"/>
        <w:numPr>
          <w:ilvl w:val="0"/>
          <w:numId w:val="2"/>
        </w:numPr>
        <w:spacing w:after="40" w:before="40"/>
      </w:pPr>
      <w:r>
        <w:rPr>
          <w:color w:val="333333"/>
          <w:sz w:val="22"/>
          <w:szCs w:val="22"/>
        </w:rPr>
        <w:t xml:space="preserve">Visitas guiadas y talleres para escuelas</w:t>
      </w:r>
    </w:p>
    <w:p>
      <w:pPr>
        <w:pStyle w:val="ListParagraph"/>
        <w:numPr>
          <w:ilvl w:val="0"/>
          <w:numId w:val="2"/>
        </w:numPr>
        <w:spacing w:after="40" w:before="40"/>
      </w:pPr>
      <w:r>
        <w:rPr>
          <w:color w:val="333333"/>
          <w:sz w:val="22"/>
          <w:szCs w:val="22"/>
        </w:rPr>
        <w:t xml:space="preserve">Materiales pedagógicos descargables</w:t>
      </w:r>
    </w:p>
    <w:p>
      <w:pPr>
        <w:pStyle w:val="ListParagraph"/>
        <w:numPr>
          <w:ilvl w:val="0"/>
          <w:numId w:val="2"/>
        </w:numPr>
        <w:spacing w:after="40" w:before="40"/>
      </w:pPr>
      <w:r>
        <w:rPr>
          <w:color w:val="333333"/>
          <w:sz w:val="22"/>
          <w:szCs w:val="22"/>
        </w:rPr>
        <w:t xml:space="preserve">Programas de formación para docentes</w:t>
      </w:r>
    </w:p>
    <w:p>
      <w:pPr>
        <w:pStyle w:val="ListParagraph"/>
        <w:numPr>
          <w:ilvl w:val="0"/>
          <w:numId w:val="2"/>
        </w:numPr>
        <w:spacing w:after="40" w:before="40"/>
      </w:pPr>
      <w:r>
        <w:rPr>
          <w:color w:val="333333"/>
          <w:sz w:val="22"/>
          <w:szCs w:val="22"/>
        </w:rPr>
        <w:t xml:space="preserve">Actividades dirigidas a periodistas y organizaciones de la sociedad civil</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10. Alianzas estratégicas</w:t>
      </w:r>
    </w:p>
    <w:p>
      <w:pPr>
        <w:spacing w:after="80" w:before="80"/>
        <w:jc w:val="both"/>
      </w:pPr>
      <w:r>
        <w:rPr>
          <w:color w:val="222222"/>
          <w:sz w:val="22"/>
          <w:szCs w:val="22"/>
        </w:rPr>
        <w:t xml:space="preserve">El proyecto buscará colaboraciones activas con:</w:t>
      </w:r>
    </w:p>
    <w:p>
      <w:pPr>
        <w:spacing w:after="60" w:before="60"/>
      </w:pPr>
      <w:r>
        <w:t xml:space="preserve"/>
      </w:r>
    </w:p>
    <w:p>
      <w:pPr>
        <w:pStyle w:val="ListParagraph"/>
        <w:numPr>
          <w:ilvl w:val="0"/>
          <w:numId w:val="2"/>
        </w:numPr>
        <w:spacing w:after="40" w:before="40"/>
      </w:pPr>
      <w:r>
        <w:rPr>
          <w:color w:val="333333"/>
          <w:sz w:val="22"/>
          <w:szCs w:val="22"/>
        </w:rPr>
        <w:t xml:space="preserve">Universidades y centros de investigación</w:t>
      </w:r>
    </w:p>
    <w:p>
      <w:pPr>
        <w:pStyle w:val="ListParagraph"/>
        <w:numPr>
          <w:ilvl w:val="0"/>
          <w:numId w:val="2"/>
        </w:numPr>
        <w:spacing w:after="40" w:before="40"/>
      </w:pPr>
      <w:r>
        <w:rPr>
          <w:color w:val="333333"/>
          <w:sz w:val="22"/>
          <w:szCs w:val="22"/>
        </w:rPr>
        <w:t xml:space="preserve">Laboratorios tecnológicos y estudios de arte digital</w:t>
      </w:r>
    </w:p>
    <w:p>
      <w:pPr>
        <w:pStyle w:val="ListParagraph"/>
        <w:numPr>
          <w:ilvl w:val="0"/>
          <w:numId w:val="2"/>
        </w:numPr>
        <w:spacing w:after="40" w:before="40"/>
      </w:pPr>
      <w:r>
        <w:rPr>
          <w:color w:val="333333"/>
          <w:sz w:val="22"/>
          <w:szCs w:val="22"/>
        </w:rPr>
        <w:t xml:space="preserve">Organizaciones de la sociedad civil</w:t>
      </w:r>
    </w:p>
    <w:p>
      <w:pPr>
        <w:pStyle w:val="ListParagraph"/>
        <w:numPr>
          <w:ilvl w:val="0"/>
          <w:numId w:val="2"/>
        </w:numPr>
        <w:spacing w:after="40" w:before="40"/>
      </w:pPr>
      <w:r>
        <w:rPr>
          <w:color w:val="333333"/>
          <w:sz w:val="22"/>
          <w:szCs w:val="22"/>
        </w:rPr>
        <w:t xml:space="preserve">Empresas del sector tecnológico</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11. Estructura de financiamiento</w:t>
      </w:r>
    </w:p>
    <w:p>
      <w:pPr>
        <w:spacing w:after="80" w:before="80"/>
        <w:jc w:val="both"/>
      </w:pPr>
      <w:r>
        <w:rPr>
          <w:color w:val="222222"/>
          <w:sz w:val="22"/>
          <w:szCs w:val="22"/>
        </w:rPr>
        <w:t xml:space="preserve">El proyecto requiere financiamiento en tres fases diferenciadas: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il"/>
              <w:left w:val="nil"/>
              <w:bottom w:val="nil"/>
              <w:right w:val="nil"/>
            </w:tcBorders>
            <w:shd w:fill="1A3A5C" w:val="clear"/>
            <w:tcMar>
              <w:top w:type="dxa" w:w="80"/>
              <w:left w:type="dxa" w:w="160"/>
              <w:bottom w:type="dxa" w:w="80"/>
              <w:right w:type="dxa" w:w="160"/>
            </w:tcMar>
          </w:tcPr>
          <w:p>
            <w:r>
              <w:rPr>
                <w:b/>
                <w:bCs/>
                <w:color w:val="FFFFFF"/>
                <w:sz w:val="20"/>
                <w:szCs w:val="20"/>
              </w:rPr>
              <w:t xml:space="preserve">Fase</w:t>
            </w:r>
          </w:p>
        </w:tc>
        <w:tc>
          <w:tcPr>
            <w:tcW w:type="dxa" w:w="6626"/>
            <w:tcBorders>
              <w:top w:val="nil"/>
              <w:left w:val="nil"/>
              <w:bottom w:val="nil"/>
              <w:right w:val="nil"/>
            </w:tcBorders>
            <w:shd w:fill="1A3A5C" w:val="clear"/>
            <w:tcMar>
              <w:top w:type="dxa" w:w="80"/>
              <w:left w:type="dxa" w:w="160"/>
              <w:bottom w:type="dxa" w:w="80"/>
              <w:right w:type="dxa" w:w="160"/>
            </w:tcMar>
          </w:tcPr>
          <w:p>
            <w:r>
              <w:rPr>
                <w:b/>
                <w:bCs/>
                <w:color w:val="FFFFFF"/>
                <w:sz w:val="20"/>
                <w:szCs w:val="20"/>
              </w:rPr>
              <w:t xml:space="preserve">Actividades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b/>
                <w:bCs/>
                <w:color w:val="1A3A5C"/>
                <w:sz w:val="20"/>
                <w:szCs w:val="20"/>
              </w:rPr>
              <w:t xml:space="preserve">Desarrollo</w:t>
            </w:r>
          </w:p>
        </w:tc>
        <w:tc>
          <w:tcPr>
            <w:tcW w:type="dxa" w:w="6626"/>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spacing w:after="20" w:before="20"/>
            </w:pPr>
            <w:r>
              <w:rPr>
                <w:color w:val="333333"/>
                <w:sz w:val="20"/>
                <w:szCs w:val="20"/>
              </w:rPr>
              <w:t xml:space="preserve">Investigación conceptual y diseño curatorial</w:t>
            </w:r>
          </w:p>
          <w:p>
            <w:pPr>
              <w:pStyle w:val="ListParagraph"/>
              <w:numPr>
                <w:ilvl w:val="0"/>
                <w:numId w:val="2"/>
              </w:numPr>
              <w:spacing w:after="20" w:before="20"/>
            </w:pPr>
            <w:r>
              <w:rPr>
                <w:color w:val="333333"/>
                <w:sz w:val="20"/>
                <w:szCs w:val="20"/>
              </w:rPr>
              <w:t xml:space="preserve">Desarrollo tecnológico de instalaciones</w:t>
            </w:r>
          </w:p>
          <w:p>
            <w:pPr>
              <w:pStyle w:val="ListParagraph"/>
              <w:numPr>
                <w:ilvl w:val="0"/>
                <w:numId w:val="2"/>
              </w:numPr>
              <w:spacing w:after="20" w:before="20"/>
            </w:pPr>
            <w:r>
              <w:rPr>
                <w:color w:val="333333"/>
                <w:sz w:val="20"/>
                <w:szCs w:val="20"/>
              </w:rPr>
              <w:t xml:space="preserve">Conformación del equipo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bCs/>
                <w:color w:val="1A3A5C"/>
                <w:sz w:val="20"/>
                <w:szCs w:val="20"/>
              </w:rPr>
              <w:t xml:space="preserve">Producción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pStyle w:val="ListParagraph"/>
              <w:numPr>
                <w:ilvl w:val="0"/>
                <w:numId w:val="2"/>
              </w:numPr>
              <w:spacing w:after="20" w:before="20"/>
            </w:pPr>
            <w:r>
              <w:rPr>
                <w:color w:val="333333"/>
                <w:sz w:val="20"/>
                <w:szCs w:val="20"/>
              </w:rPr>
              <w:t xml:space="preserve">Diseño y construcción de instalaciones</w:t>
            </w:r>
          </w:p>
          <w:p>
            <w:pPr>
              <w:pStyle w:val="ListParagraph"/>
              <w:numPr>
                <w:ilvl w:val="0"/>
                <w:numId w:val="2"/>
              </w:numPr>
              <w:spacing w:after="20" w:before="20"/>
            </w:pPr>
            <w:r>
              <w:rPr>
                <w:color w:val="333333"/>
                <w:sz w:val="20"/>
                <w:szCs w:val="20"/>
              </w:rPr>
              <w:t xml:space="preserve">Producción integral de la muestra</w:t>
            </w:r>
          </w:p>
          <w:p>
            <w:pPr>
              <w:pStyle w:val="ListParagraph"/>
              <w:numPr>
                <w:ilvl w:val="0"/>
                <w:numId w:val="2"/>
              </w:numPr>
              <w:spacing w:after="20" w:before="20"/>
            </w:pPr>
            <w:r>
              <w:rPr>
                <w:color w:val="333333"/>
                <w:sz w:val="20"/>
                <w:szCs w:val="20"/>
              </w:rPr>
              <w:t xml:space="preserve">Comunicación y difusión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b/>
                <w:bCs/>
                <w:color w:val="1A3A5C"/>
                <w:sz w:val="20"/>
                <w:szCs w:val="20"/>
              </w:rPr>
              <w:t xml:space="preserve">Implementación</w:t>
            </w:r>
          </w:p>
        </w:tc>
        <w:tc>
          <w:tcPr>
            <w:tcW w:type="dxa" w:w="6626"/>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pPr>
              <w:pStyle w:val="ListParagraph"/>
              <w:numPr>
                <w:ilvl w:val="0"/>
                <w:numId w:val="2"/>
              </w:numPr>
              <w:spacing w:after="20" w:before="20"/>
            </w:pPr>
            <w:r>
              <w:rPr>
                <w:color w:val="333333"/>
                <w:sz w:val="20"/>
                <w:szCs w:val="20"/>
              </w:rPr>
              <w:t xml:space="preserve">Montaje y puesta en marcha</w:t>
            </w:r>
          </w:p>
          <w:p>
            <w:pPr>
              <w:pStyle w:val="ListParagraph"/>
              <w:numPr>
                <w:ilvl w:val="0"/>
                <w:numId w:val="2"/>
              </w:numPr>
              <w:spacing w:after="20" w:before="20"/>
            </w:pPr>
            <w:r>
              <w:rPr>
                <w:color w:val="333333"/>
                <w:sz w:val="20"/>
                <w:szCs w:val="20"/>
              </w:rPr>
              <w:t xml:space="preserve">Programación educativa y de conversación</w:t>
            </w:r>
          </w:p>
          <w:p>
            <w:pPr>
              <w:pStyle w:val="ListParagraph"/>
              <w:numPr>
                <w:ilvl w:val="0"/>
                <w:numId w:val="2"/>
              </w:numPr>
              <w:spacing w:after="20" w:before="20"/>
            </w:pPr>
            <w:r>
              <w:rPr>
                <w:color w:val="333333"/>
                <w:sz w:val="20"/>
                <w:szCs w:val="20"/>
              </w:rPr>
              <w:t xml:space="preserve">Operación durante la muestra</w:t>
            </w:r>
          </w:p>
        </w:tc>
      </w:tr>
    </w:tbl>
    <w:p>
      <w:pPr>
        <w:spacing w:after="60" w:before="60"/>
      </w:pPr>
      <w:r>
        <w:t xml:space="preserve"/>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12. Proyección a futuro</w:t>
      </w:r>
    </w:p>
    <w:p>
      <w:pPr>
        <w:spacing w:after="80" w:before="80"/>
        <w:jc w:val="both"/>
      </w:pPr>
      <w:r>
        <w:rPr>
          <w:color w:val="222222"/>
          <w:sz w:val="22"/>
          <w:szCs w:val="22"/>
        </w:rPr>
        <w:t xml:space="preserve">El objetivo es que este proyecto evolucione hacia un programa sostenido de Impacto Digital: replicable, actualizable y escalable a distintas ciudades y ediciones.</w:t>
      </w:r>
    </w:p>
    <w:p>
      <w:pPr>
        <w:spacing w:after="60" w:before="60"/>
      </w:pPr>
      <w:r>
        <w:t xml:space="preserve"/>
      </w:r>
    </w:p>
    <w:p>
      <w:pPr>
        <w:pStyle w:val="Heading1"/>
        <w:pBdr>
          <w:bottom w:val="single" w:color="2E75B6" w:sz="6" w:space="4"/>
        </w:pBdr>
        <w:spacing w:after="160" w:before="400"/>
      </w:pPr>
      <w:r>
        <w:rPr>
          <w:b/>
          <w:bCs/>
          <w:color w:val="1A3A5C"/>
          <w:sz w:val="28"/>
          <w:szCs w:val="28"/>
        </w:rPr>
        <w:t xml:space="preserve">13. Próximos pasos</w:t>
      </w:r>
    </w:p>
    <w:p>
      <w:pPr>
        <w:pStyle w:val="ListParagraph"/>
        <w:numPr>
          <w:ilvl w:val="0"/>
          <w:numId w:val="2"/>
        </w:numPr>
        <w:spacing w:after="40" w:before="40"/>
      </w:pPr>
      <w:r>
        <w:rPr>
          <w:color w:val="333333"/>
          <w:sz w:val="22"/>
          <w:szCs w:val="22"/>
        </w:rPr>
        <w:t xml:space="preserve">Definición del enfoque conceptual (Opción 1, 2 o 3)</w:t>
      </w:r>
    </w:p>
    <w:p>
      <w:pPr>
        <w:pStyle w:val="ListParagraph"/>
        <w:numPr>
          <w:ilvl w:val="0"/>
          <w:numId w:val="2"/>
        </w:numPr>
        <w:spacing w:after="40" w:before="40"/>
      </w:pPr>
      <w:r>
        <w:rPr>
          <w:color w:val="333333"/>
          <w:sz w:val="22"/>
          <w:szCs w:val="22"/>
        </w:rPr>
        <w:t xml:space="preserve">Conformación del equipo curatorial</w:t>
      </w:r>
    </w:p>
    <w:p>
      <w:pPr>
        <w:pStyle w:val="ListParagraph"/>
        <w:numPr>
          <w:ilvl w:val="0"/>
          <w:numId w:val="2"/>
        </w:numPr>
        <w:spacing w:after="40" w:before="40"/>
      </w:pPr>
      <w:r>
        <w:rPr>
          <w:color w:val="333333"/>
          <w:sz w:val="22"/>
          <w:szCs w:val="22"/>
        </w:rPr>
        <w:t xml:space="preserve">Identificación de aliados estratégicos</w:t>
      </w:r>
    </w:p>
    <w:p>
      <w:pPr>
        <w:pStyle w:val="ListParagraph"/>
        <w:numPr>
          <w:ilvl w:val="0"/>
          <w:numId w:val="2"/>
        </w:numPr>
        <w:spacing w:after="40" w:before="40"/>
      </w:pPr>
      <w:r>
        <w:rPr>
          <w:color w:val="333333"/>
          <w:sz w:val="22"/>
          <w:szCs w:val="22"/>
        </w:rPr>
        <w:t xml:space="preserve">Desarrollo del diseño de experiencias por sala</w:t>
      </w:r>
    </w:p>
    <w:p>
      <w:pPr>
        <w:pStyle w:val="ListParagraph"/>
        <w:numPr>
          <w:ilvl w:val="0"/>
          <w:numId w:val="2"/>
        </w:numPr>
        <w:spacing w:after="40" w:before="40"/>
      </w:pPr>
      <w:r>
        <w:rPr>
          <w:color w:val="333333"/>
          <w:sz w:val="22"/>
          <w:szCs w:val="22"/>
        </w:rPr>
        <w:t xml:space="preserve">Elaboración del presupuesto preliminar</w:t>
      </w:r>
    </w:p>
    <w:p>
      <w:pPr>
        <w:pStyle w:val="ListParagraph"/>
        <w:numPr>
          <w:ilvl w:val="0"/>
          <w:numId w:val="2"/>
        </w:numPr>
        <w:spacing w:after="40" w:before="40"/>
      </w:pPr>
      <w:r>
        <w:rPr>
          <w:color w:val="333333"/>
          <w:sz w:val="22"/>
          <w:szCs w:val="22"/>
        </w:rPr>
        <w:t xml:space="preserve">Inicio de la búsqueda de financiamiento</w:t>
      </w:r>
    </w:p>
    <w:p>
      <w:pPr>
        <w:spacing w:after="60" w:before="60"/>
      </w:pPr>
    </w:p>
    <w:p>
      <w:pPr>
        <w:pStyle w:val="Heading1"/>
        <w:spacing w:before="400" w:after="160"/>
      </w:pPr>
      <w:r>
        <w:rPr>
          <w:b/>
          <w:color w:val="1A3A5C"/>
          <w:sz w:val="28"/>
          <w:szCs w:val="28"/>
        </w:rPr>
        <w:t>14. Formato itinerante</w:t>
      </w:r>
    </w:p>
    <w:p>
      <w:pPr>
        <w:spacing w:before="80" w:after="80"/>
        <w:jc w:val="both"/>
      </w:pPr>
      <w:r>
        <w:rPr>
          <w:sz w:val="22"/>
          <w:szCs w:val="22"/>
          <w:color w:val="222222"/>
        </w:rPr>
        <w:t xml:space="preserve">UMBRAL es concebida como una muestra itinerante, diseñada para viajar y replicarse en distintas ciudades y contextos. Su formato modular permite adaptarla a diferentes espacios y actualizarla con nuevos contenidos en cada edición.</w:t>
      </w:r>
    </w:p>
    <w:p>
      <w:pPr>
        <w:pStyle w:val="Heading2"/>
        <w:spacing w:before="280" w:after="120"/>
      </w:pPr>
      <w:r>
        <w:rPr>
          <w:b/>
          <w:color w:val="2E75B6"/>
          <w:sz w:val="24"/>
          <w:szCs w:val="24"/>
        </w:rPr>
        <w:t>Primera edición — Buenos Aires, Argentina (2027)</w:t>
      </w:r>
    </w:p>
    <w:p>
      <w:pPr>
        <w:pStyle w:val="ListParagraph"/>
        <w:numPr>
          <w:ilvl w:val="0"/>
          <w:numId w:val="1"/>
        </w:numPr>
        <w:spacing w:after="40" w:before="40"/>
      </w:pPr>
      <w:r>
        <w:rPr>
          <w:color w:val="333333"/>
          <w:sz w:val="22"/>
          <w:szCs w:val="22"/>
        </w:rPr>
        <w:t>Ciudad: Buenos Aires, Argentina (CABA)</w:t>
      </w:r>
    </w:p>
    <w:p>
      <w:pPr>
        <w:pStyle w:val="ListParagraph"/>
        <w:numPr>
          <w:ilvl w:val="0"/>
          <w:numId w:val="1"/>
        </w:numPr>
        <w:spacing w:after="40" w:before="40"/>
      </w:pPr>
      <w:r>
        <w:rPr>
          <w:color w:val="333333"/>
          <w:sz w:val="22"/>
          <w:szCs w:val="22"/>
        </w:rPr>
        <w:t>Año: 2027</w:t>
      </w:r>
    </w:p>
    <w:p>
      <w:pPr>
        <w:pStyle w:val="ListParagraph"/>
        <w:numPr>
          <w:ilvl w:val="0"/>
          <w:numId w:val="1"/>
        </w:numPr>
        <w:spacing w:after="40" w:before="40"/>
      </w:pPr>
      <w:r>
        <w:rPr>
          <w:color w:val="333333"/>
          <w:sz w:val="22"/>
          <w:szCs w:val="22"/>
        </w:rPr>
        <w:t xml:space="preserve">El objetivo es que ediciones futuras puedan realizarse en otras ciudades de América Latina y a nivel internacional.</w:t>
      </w:r>
    </w:p>
    <w:p>
      <w:pPr>
        <w:spacing w:after="60" w:before="60"/>
      </w:pPr>
    </w:p>
    <w:p>
      <w:pPr>
        <w:pStyle w:val="Heading1"/>
        <w:spacing w:before="400" w:after="160"/>
      </w:pPr>
      <w:r>
        <w:rPr>
          <w:b/>
          <w:color w:val="1A3A5C"/>
          <w:sz w:val="28"/>
          <w:szCs w:val="28"/>
        </w:rPr>
        <w:t>15. Ideas para experiencias interactivas</w:t>
      </w:r>
    </w:p>
    <w:p>
      <w:pPr>
        <w:spacing w:before="80" w:after="80"/>
        <w:jc w:val="both"/>
      </w:pPr>
      <w:r>
        <w:rPr>
          <w:sz w:val="22"/>
          <w:szCs w:val="22"/>
          <w:color w:val="222222"/>
        </w:rPr>
        <w:t xml:space="preserve">Las siguientes ideas son puntos de partida para el diseño de las instalaciones de cada sala. Están pensadas para generar una experiencia visceral y participativa, donde el visitante no observa la tecnología sino que la habita.</w:t>
      </w:r>
    </w:p>
    <w:p>
      <w:pPr>
        <w:pStyle w:val="Heading2"/>
        <w:spacing w:before="280" w:after="120"/>
      </w:pPr>
      <w:r>
        <w:rPr>
          <w:b/>
          <w:color w:val="2E75B6"/>
          <w:sz w:val="24"/>
          <w:szCs w:val="24"/>
        </w:rPr>
        <w:t>Space 01 — Género</w:t>
      </w:r>
    </w:p>
    <w:p>
      <w:pPr>
        <w:pStyle w:val="ListParagraph"/>
        <w:numPr>
          <w:ilvl w:val="0"/>
          <w:numId w:val="1"/>
        </w:numPr>
        <w:spacing w:after="40" w:before="40"/>
      </w:pPr>
      <w:r>
        <w:rPr>
          <w:b/>
          <w:color w:val="1A3A5C"/>
          <w:sz w:val="22"/>
          <w:szCs w:val="22"/>
        </w:rPr>
        <w:t xml:space="preserve">El algoritmo te mira: </w:t>
      </w:r>
      <w:r>
        <w:rPr>
          <w:color w:val="333333"/>
          <w:sz w:val="22"/>
          <w:szCs w:val="22"/>
        </w:rPr>
        <w:t>Una cámara analiza el rostro del visitante en tiempo real con un modelo de reconocimiento facial y muestra cómo lo clasifica: género, edad, emoción. Luego revela los sesgos del modelo. La persona se ve reducida a una etiqueta y comprende visualmente qué significa el sesgo algorítmico.</w:t>
      </w:r>
    </w:p>
    <w:p>
      <w:pPr>
        <w:pStyle w:val="ListParagraph"/>
        <w:numPr>
          <w:ilvl w:val="0"/>
          <w:numId w:val="1"/>
        </w:numPr>
        <w:spacing w:after="40" w:before="40"/>
      </w:pPr>
      <w:r>
        <w:rPr>
          <w:b/>
          <w:color w:val="1A3A5C"/>
          <w:sz w:val="22"/>
          <w:szCs w:val="22"/>
        </w:rPr>
        <w:t xml:space="preserve">El teclado que predice: </w:t>
      </w:r>
      <w:r>
        <w:rPr>
          <w:color w:val="333333"/>
          <w:sz w:val="22"/>
          <w:szCs w:val="22"/>
        </w:rPr>
        <w:t>Una pantalla gigante muestra autocompletados de búsqueda sobre mujeres, hombres e identidades no binarias. El público escribe y ve en tiempo real cómo el lenguaje del buscador construye estereotipos.</w:t>
      </w:r>
    </w:p>
    <w:p>
      <w:pPr>
        <w:pStyle w:val="Heading2"/>
        <w:spacing w:before="280" w:after="120"/>
      </w:pPr>
      <w:r>
        <w:rPr>
          <w:b/>
          <w:color w:val="2E75B6"/>
          <w:sz w:val="24"/>
          <w:szCs w:val="24"/>
        </w:rPr>
        <w:t>Space 02 — Cambio climático</w:t>
      </w:r>
    </w:p>
    <w:p>
      <w:pPr>
        <w:pStyle w:val="ListParagraph"/>
        <w:numPr>
          <w:ilvl w:val="0"/>
          <w:numId w:val="1"/>
        </w:numPr>
        <w:spacing w:after="40" w:before="40"/>
      </w:pPr>
      <w:r>
        <w:rPr>
          <w:b/>
          <w:color w:val="1A3A5C"/>
          <w:sz w:val="22"/>
          <w:szCs w:val="22"/>
        </w:rPr>
        <w:t xml:space="preserve">La sala que respira: </w:t>
      </w:r>
      <w:r>
        <w:rPr>
          <w:color w:val="333333"/>
          <w:sz w:val="22"/>
          <w:szCs w:val="22"/>
        </w:rPr>
        <w:t>Sensores en tiempo real miden CO2, temperatura y humedad del espacio. Ese dato se proyecta contra proyecciones climáticas a 2050. El cuerpo del visitante se convierte en parte del dato.</w:t>
      </w:r>
    </w:p>
    <w:p>
      <w:pPr>
        <w:pStyle w:val="ListParagraph"/>
        <w:numPr>
          <w:ilvl w:val="0"/>
          <w:numId w:val="1"/>
        </w:numPr>
        <w:spacing w:after="40" w:before="40"/>
      </w:pPr>
      <w:r>
        <w:rPr>
          <w:b/>
          <w:color w:val="1A3A5C"/>
          <w:sz w:val="22"/>
          <w:szCs w:val="22"/>
        </w:rPr>
        <w:t xml:space="preserve">El archivo que se derrite: </w:t>
      </w:r>
      <w:r>
        <w:rPr>
          <w:color w:val="333333"/>
          <w:sz w:val="22"/>
          <w:szCs w:val="22"/>
        </w:rPr>
        <w:t>Imágenes satelitales de glaciares, selvas y costas desde 1980 hasta hoy. El visitante controla el tiempo con un slider. Ver el cambio con las propias manos es completamente diferente a leerlo.</w:t>
      </w:r>
    </w:p>
    <w:p>
      <w:pPr>
        <w:pStyle w:val="Heading2"/>
        <w:spacing w:before="280" w:after="120"/>
      </w:pPr>
      <w:r>
        <w:rPr>
          <w:b/>
          <w:color w:val="2E75B6"/>
          <w:sz w:val="24"/>
          <w:szCs w:val="24"/>
        </w:rPr>
        <w:t>Space 03 — Democracia</w:t>
      </w:r>
    </w:p>
    <w:p>
      <w:pPr>
        <w:pStyle w:val="ListParagraph"/>
        <w:numPr>
          <w:ilvl w:val="0"/>
          <w:numId w:val="1"/>
        </w:numPr>
        <w:spacing w:after="40" w:before="40"/>
      </w:pPr>
      <w:r>
        <w:rPr>
          <w:b/>
          <w:color w:val="1A3A5C"/>
          <w:sz w:val="22"/>
          <w:szCs w:val="22"/>
        </w:rPr>
        <w:t xml:space="preserve">La cámara de eco: </w:t>
      </w:r>
      <w:r>
        <w:rPr>
          <w:color w:val="333333"/>
          <w:sz w:val="22"/>
          <w:szCs w:val="22"/>
        </w:rPr>
        <w:t>Una sala divide al público en dos grupos según sus respuestas a preguntas simples. Cada grupo ve noticias filtradas para su perfil. Al final se juntan y comparan lo que vieron. Una experiencia de burbuja de filtro en cuerpo propio.</w:t>
      </w:r>
    </w:p>
    <w:p>
      <w:pPr>
        <w:pStyle w:val="ListParagraph"/>
        <w:numPr>
          <w:ilvl w:val="0"/>
          <w:numId w:val="1"/>
        </w:numPr>
        <w:spacing w:after="40" w:before="40"/>
      </w:pPr>
      <w:r>
        <w:rPr>
          <w:b/>
          <w:color w:val="1A3A5C"/>
          <w:sz w:val="22"/>
          <w:szCs w:val="22"/>
        </w:rPr>
        <w:t xml:space="preserve">El mapa del poder: </w:t>
      </w:r>
      <w:r>
        <w:rPr>
          <w:color w:val="333333"/>
          <w:sz w:val="22"/>
          <w:szCs w:val="22"/>
        </w:rPr>
        <w:t>Visualización interactiva de quién es dueño de qué plataforma, qué medio, qué infraestructura digital. El visitante puede explorar las cadenas de propiedad y ver cómo se concentra el poder sobre la información pública.</w:t>
      </w:r>
    </w:p>
    <w:p>
      <w:pPr>
        <w:pStyle w:val="Heading2"/>
        <w:spacing w:before="280" w:after="120"/>
      </w:pPr>
      <w:r>
        <w:rPr>
          <w:b/>
          <w:color w:val="2E75B6"/>
          <w:sz w:val="24"/>
          <w:szCs w:val="24"/>
        </w:rPr>
        <w:t>Elementos transversales</w:t>
      </w:r>
    </w:p>
    <w:p>
      <w:pPr>
        <w:pStyle w:val="ListParagraph"/>
        <w:numPr>
          <w:ilvl w:val="0"/>
          <w:numId w:val="1"/>
        </w:numPr>
        <w:spacing w:after="40" w:before="40"/>
      </w:pPr>
      <w:r>
        <w:rPr>
          <w:b/>
          <w:color w:val="1A3A5C"/>
          <w:sz w:val="22"/>
          <w:szCs w:val="22"/>
        </w:rPr>
        <w:t xml:space="preserve">App propia de UMBRAL: </w:t>
      </w:r>
      <w:r>
        <w:rPr>
          <w:color w:val="333333"/>
          <w:sz w:val="22"/>
          <w:szCs w:val="22"/>
        </w:rPr>
        <w:t>El visitante descarga la app al entrar. Registra su recorrido, sus decisiones, sus tiempos. Al final le devuelve un “perfil de datos” de su propia visita. La experiencia de ser dato sucede mientras se vive la muestra.</w:t>
      </w:r>
    </w:p>
    <w:p>
      <w:pPr>
        <w:pStyle w:val="ListParagraph"/>
        <w:numPr>
          <w:ilvl w:val="0"/>
          <w:numId w:val="1"/>
        </w:numPr>
        <w:spacing w:after="40" w:before="40"/>
      </w:pPr>
      <w:r>
        <w:rPr>
          <w:b/>
          <w:color w:val="1A3A5C"/>
          <w:sz w:val="22"/>
          <w:szCs w:val="22"/>
        </w:rPr>
        <w:t xml:space="preserve">Libro de visitas de datos: </w:t>
      </w:r>
      <w:r>
        <w:rPr>
          <w:color w:val="333333"/>
          <w:sz w:val="22"/>
          <w:szCs w:val="22"/>
        </w:rPr>
        <w:t>En lugar de firmar, cada visitante responde una pregunta. Las respuestas se acumulan y se visualizan en tiempo real durante toda la muestra.</w:t>
      </w:r>
    </w:p>
    <w:p>
      <w:pPr>
        <w:spacing w:after="60" w:before="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sz w:val="28"/>
      <w:szCs w:val="28"/>
    </w:rPr>
  </w:style>
  <w:style w:type="paragraph" w:styleId="Heading2">
    <w:name w:val="Heading 2"/>
    <w:basedOn w:val="Normal"/>
    <w:next w:val="Normal"/>
    <w:qFormat/>
    <w:pPr>
      <w:spacing w:after="120" w:before="2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2026-03-18T17:50:03.435Z</dcterms:created>
  <dcterms:modified xsi:type="dcterms:W3CDTF">2026-03-18T17:50:03.436Z</dcterms:modified>
</cp:coreProperties>
</file>

<file path=docProps/custom.xml><?xml version="1.0" encoding="utf-8"?>
<Properties xmlns="http://schemas.openxmlformats.org/officeDocument/2006/custom-properties" xmlns:vt="http://schemas.openxmlformats.org/officeDocument/2006/docPropsVTypes"/>
</file>