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60"/>
        <w:rPr/>
      </w:pPr>
      <w:r>
        <w:rPr/>
        <w:t xml:space="preserve">面向 </w:t>
      </w:r>
      <w:r>
        <w:rPr/>
        <w:t xml:space="preserve">ZQ500 </w:t>
      </w:r>
      <w:r>
        <w:rPr/>
        <w:t>的信号处理算子库与端到端加速</w:t>
      </w:r>
    </w:p>
    <w:p>
      <w:pPr>
        <w:pStyle w:val="Heading2"/>
        <w:bidi w:val="0"/>
        <w:jc w:val="left"/>
        <w:rPr/>
      </w:pPr>
      <w:r>
        <w:rPr/>
        <w:t xml:space="preserve">10 </w:t>
      </w:r>
      <w:r>
        <w:rPr/>
        <w:t>分钟答辩逐页讲稿</w:t>
      </w:r>
    </w:p>
    <w:p>
      <w:pPr>
        <w:pStyle w:val="TextBody"/>
        <w:bidi w:val="0"/>
        <w:spacing w:before="0" w:after="160"/>
        <w:jc w:val="both"/>
        <w:rPr/>
      </w:pPr>
      <w:r>
        <w:rPr>
          <w:rStyle w:val="StrongEmphasis"/>
        </w:rPr>
        <w:t>适用版本</w:t>
      </w:r>
      <w:r>
        <w:rPr/>
        <w:t>：</w:t>
      </w:r>
      <w:r>
        <w:rPr/>
        <w:t>P01</w:t>
      </w:r>
      <w:r>
        <w:rPr/>
        <w:t>～</w:t>
      </w:r>
      <w:r>
        <w:rPr/>
        <w:t>P20</w:t>
      </w:r>
      <w:r>
        <w:rPr/>
        <w:t xml:space="preserve">；对应当前 </w:t>
      </w:r>
      <w:r>
        <w:rPr>
          <w:rStyle w:val="SourceText"/>
        </w:rPr>
        <w:t>ppt_work/deck_spec.md</w:t>
      </w:r>
      <w:r>
        <w:rPr/>
        <w:t xml:space="preserve"> </w:t>
      </w:r>
      <w:r>
        <w:rPr/>
        <w:t>的正式页序。</w:t>
      </w:r>
    </w:p>
    <w:p>
      <w:pPr>
        <w:pStyle w:val="TextBody"/>
        <w:bidi w:val="0"/>
        <w:spacing w:before="0" w:after="160"/>
        <w:jc w:val="both"/>
        <w:rPr/>
      </w:pPr>
      <w:r>
        <w:rPr>
          <w:rStyle w:val="StrongEmphasis"/>
        </w:rPr>
        <w:t>正常口播目标</w:t>
      </w:r>
      <w:r>
        <w:rPr/>
        <w:t xml:space="preserve">：约 </w:t>
      </w:r>
      <w:r>
        <w:rPr/>
        <w:t xml:space="preserve">8 </w:t>
      </w:r>
      <w:r>
        <w:rPr/>
        <w:t xml:space="preserve">分 </w:t>
      </w:r>
      <w:r>
        <w:rPr/>
        <w:t xml:space="preserve">10 </w:t>
      </w:r>
      <w:r>
        <w:rPr/>
        <w:t xml:space="preserve">秒；预留约 </w:t>
      </w:r>
      <w:r>
        <w:rPr/>
        <w:t xml:space="preserve">1 </w:t>
      </w:r>
      <w:r>
        <w:rPr/>
        <w:t xml:space="preserve">分 </w:t>
      </w:r>
      <w:r>
        <w:rPr/>
        <w:t xml:space="preserve">50 </w:t>
      </w:r>
      <w:r>
        <w:rPr/>
        <w:t>秒用于翻页、停顿、评委打断和现场机动。</w:t>
      </w:r>
    </w:p>
    <w:p>
      <w:pPr>
        <w:pStyle w:val="TextBody"/>
        <w:bidi w:val="0"/>
        <w:spacing w:before="0" w:after="160"/>
        <w:jc w:val="both"/>
        <w:rPr/>
      </w:pPr>
      <w:r>
        <w:rPr>
          <w:rStyle w:val="StrongEmphasis"/>
        </w:rPr>
        <w:t>数据原则</w:t>
      </w:r>
      <w:r>
        <w:rPr/>
        <w:t>：</w:t>
      </w:r>
      <w:r>
        <w:rPr/>
        <w:t>P06</w:t>
      </w:r>
      <w:r>
        <w:rPr/>
        <w:t>～</w:t>
      </w:r>
      <w:r>
        <w:rPr/>
        <w:t xml:space="preserve">P08 </w:t>
      </w:r>
      <w:r>
        <w:rPr/>
        <w:t>的代表路径数据按页面脚注说明为历史整体路径对比；</w:t>
      </w:r>
      <w:r>
        <w:rPr/>
        <w:t>P13</w:t>
      </w:r>
      <w:r>
        <w:rPr/>
        <w:t>、</w:t>
      </w:r>
      <w:r>
        <w:rPr/>
        <w:t>P15</w:t>
      </w:r>
      <w:r>
        <w:rPr/>
        <w:t>、</w:t>
      </w:r>
      <w:r>
        <w:rPr/>
        <w:t xml:space="preserve">P16 </w:t>
      </w:r>
      <w:r>
        <w:rPr/>
        <w:t xml:space="preserve">使用统一 </w:t>
      </w:r>
      <w:r>
        <w:rPr/>
        <w:t>L1</w:t>
      </w:r>
      <w:r>
        <w:rPr/>
        <w:t>～</w:t>
      </w:r>
      <w:r>
        <w:rPr/>
        <w:t xml:space="preserve">L6 </w:t>
      </w:r>
      <w:r>
        <w:rPr/>
        <w:t>实测。</w:t>
      </w:r>
      <w:r>
        <w:rPr/>
        <w:t>P09</w:t>
      </w:r>
      <w:r>
        <w:rPr/>
        <w:t>～</w:t>
      </w:r>
      <w:r>
        <w:rPr/>
        <w:t xml:space="preserve">P11 </w:t>
      </w:r>
      <w:r>
        <w:rPr/>
        <w:t>必须在真实分层性能图补齐后，只从图中读取数据，禁止预填或臆造数字。</w:t>
      </w:r>
    </w:p>
    <w:p>
      <w:pPr>
        <w:pStyle w:val="Heading2"/>
        <w:bidi w:val="0"/>
        <w:jc w:val="left"/>
        <w:rPr/>
      </w:pPr>
      <w:r>
        <w:rPr/>
        <w:t>使用说明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rPr/>
      </w:pPr>
      <w:r>
        <w:rPr/>
        <w:t xml:space="preserve">每页只讲“结论—原因—结果”三件事；不要逐字朗读页面文字或图表刻度。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spacing w:before="0" w:after="0"/>
        <w:ind w:left="707" w:hanging="283"/>
        <w:rPr/>
      </w:pPr>
      <w:r>
        <w:rPr>
          <w:rStyle w:val="SourceText"/>
          <w:b/>
          <w:color w:val="A85A00"/>
        </w:rPr>
        <w:t>【待填】</w:t>
      </w:r>
      <w:r>
        <w:rPr/>
        <w:t xml:space="preserve"> 为 </w:t>
      </w:r>
      <w:r>
        <w:rPr/>
        <w:t>P09</w:t>
      </w:r>
      <w:r>
        <w:rPr/>
        <w:t>～</w:t>
      </w:r>
      <w:r>
        <w:rPr/>
        <w:t xml:space="preserve">P11 </w:t>
      </w:r>
      <w:r>
        <w:rPr/>
        <w:t xml:space="preserve">的正式实测图生成后才允许补入的内容；演练时可直接略读该句。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ind w:left="707" w:hanging="283"/>
        <w:rPr/>
      </w:pPr>
      <w:r>
        <w:rPr/>
        <w:t xml:space="preserve">P02 </w:t>
      </w:r>
      <w:r>
        <w:rPr/>
        <w:t xml:space="preserve">中的姓名和分工必须由团队按实际情况替换。 </w:t>
      </w:r>
    </w:p>
    <w:tbl>
      <w:tblPr>
        <w:tblW w:w="2509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1"/>
        <w:gridCol w:w="781"/>
        <w:gridCol w:w="556"/>
        <w:gridCol w:w="601"/>
      </w:tblGrid>
      <w:tr>
        <w:trPr/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0B5CAD" w:val="clear"/>
              <w:bidi w:val="0"/>
              <w:spacing w:before="0" w:after="160"/>
              <w:jc w:val="center"/>
              <w:rPr/>
            </w:pPr>
            <w:r>
              <w:rPr/>
              <w:t>页码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Heading"/>
              <w:suppressLineNumbers/>
              <w:shd w:fill="0B5CAD" w:val="clear"/>
              <w:bidi w:val="0"/>
              <w:spacing w:before="0" w:after="160"/>
              <w:jc w:val="center"/>
              <w:rPr/>
            </w:pPr>
            <w:r>
              <w:rPr/>
              <w:t>页面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Heading"/>
              <w:suppressLineNumbers/>
              <w:shd w:fill="0B5CAD" w:val="clear"/>
              <w:bidi w:val="0"/>
              <w:spacing w:before="0" w:after="160"/>
              <w:jc w:val="center"/>
              <w:rPr/>
            </w:pPr>
            <w:r>
              <w:rPr/>
              <w:t>计划时间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Heading"/>
              <w:suppressLineNumbers/>
              <w:shd w:fill="0B5CAD" w:val="clear"/>
              <w:bidi w:val="0"/>
              <w:spacing w:before="0" w:after="160"/>
              <w:jc w:val="center"/>
              <w:rPr/>
            </w:pPr>
            <w:r>
              <w:rPr/>
              <w:t>累计时间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P01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封面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10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0:10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P02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团队成员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10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0:20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P03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赛题重述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20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0:40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P04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代码架构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18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0:58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P05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技术路线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18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1:16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P06</w:t>
            </w:r>
            <w:r>
              <w:rPr/>
              <w:t>～</w:t>
            </w:r>
            <w:r>
              <w:rPr/>
              <w:t>P08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三项公共机制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114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3:10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P09</w:t>
            </w:r>
            <w:r>
              <w:rPr/>
              <w:t>～</w:t>
            </w:r>
            <w:r>
              <w:rPr/>
              <w:t>P11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三层算子性能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75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4:25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P12</w:t>
            </w:r>
            <w:r>
              <w:rPr/>
              <w:t>～</w:t>
            </w:r>
            <w:r>
              <w:rPr/>
              <w:t>P15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两条应用与性能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130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6:35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P16</w:t>
            </w:r>
            <w:r>
              <w:rPr/>
              <w:t>～</w:t>
            </w:r>
            <w:r>
              <w:rPr/>
              <w:t>P17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正确性、优缺点与改进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50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7:25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P18</w:t>
            </w:r>
            <w:r>
              <w:rPr/>
              <w:t>～</w:t>
            </w:r>
            <w:r>
              <w:rPr/>
              <w:t>P20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亮点、</w:t>
            </w:r>
            <w:r>
              <w:rPr/>
              <w:t>AI</w:t>
            </w:r>
            <w:r>
              <w:rPr/>
              <w:t>、致谢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 xml:space="preserve">45 </w:t>
            </w:r>
            <w:r>
              <w:rPr/>
              <w:t>秒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8:10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P01</w:t>
      </w:r>
      <w:r>
        <w:rPr/>
        <w:t>｜封面（</w:t>
      </w:r>
      <w:r>
        <w:rPr/>
        <w:t xml:space="preserve">10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各位评委老师好。我们汇报的题目是“面向 </w:t>
      </w:r>
      <w:r>
        <w:rPr/>
        <w:t xml:space="preserve">ZQ500 </w:t>
      </w:r>
      <w:r>
        <w:rPr/>
        <w:t xml:space="preserve">的信号处理算子库与端到端加速”。项目覆盖 </w:t>
      </w:r>
      <w:r>
        <w:rPr/>
        <w:t xml:space="preserve">12 </w:t>
      </w:r>
      <w:r>
        <w:rPr/>
        <w:t>个模块、</w:t>
      </w:r>
      <w:r>
        <w:rPr/>
        <w:t xml:space="preserve">81 </w:t>
      </w:r>
      <w:r>
        <w:rPr/>
        <w:t xml:space="preserve">个公开算子和两条端到端任务，核心是算法结构的 </w:t>
      </w:r>
      <w:r>
        <w:rPr/>
        <w:t xml:space="preserve">GPU </w:t>
      </w:r>
      <w:r>
        <w:rPr/>
        <w:t>并行重写。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P02</w:t>
      </w:r>
      <w:r>
        <w:rPr/>
        <w:t>｜团队成员与分工（</w:t>
      </w:r>
      <w:r>
        <w:rPr/>
        <w:t xml:space="preserve">10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本项目由【成员 </w:t>
      </w:r>
      <w:r>
        <w:rPr/>
        <w:t>A</w:t>
      </w:r>
      <w:r>
        <w:rPr/>
        <w:t xml:space="preserve">】负责【实际职责】，由【成员 </w:t>
      </w:r>
      <w:r>
        <w:rPr/>
        <w:t>B</w:t>
      </w:r>
      <w:r>
        <w:rPr/>
        <w:t xml:space="preserve">】负责【实际职责】，由【成员 </w:t>
      </w:r>
      <w:r>
        <w:rPr/>
        <w:t>C</w:t>
      </w:r>
      <w:r>
        <w:rPr/>
        <w:t>】负责【实际职责】；通过实现、测试和材料的交叉复核保障交付质量。</w:t>
      </w:r>
    </w:p>
    <w:p>
      <w:pPr>
        <w:pStyle w:val="TextBodynote"/>
        <w:pBdr>
          <w:left w:val="single" w:sz="32" w:space="9" w:color="00A6A6"/>
        </w:pBdr>
        <w:shd w:fill="EAF3FB" w:val="clear"/>
        <w:bidi w:val="0"/>
        <w:spacing w:before="160" w:after="160"/>
        <w:ind w:left="160" w:right="160" w:hanging="0"/>
        <w:rPr/>
      </w:pPr>
      <w:r>
        <w:rPr/>
        <w:t>制作提示：只替换方括号内容；不要临场扩展个人经历或非项目内容。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P03</w:t>
      </w:r>
      <w:r>
        <w:rPr/>
        <w:t>｜赛题重述（</w:t>
      </w:r>
      <w:r>
        <w:rPr/>
        <w:t xml:space="preserve">20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赛题交付的不是孤立 </w:t>
      </w:r>
      <w:r>
        <w:rPr/>
        <w:t>kernel</w:t>
      </w:r>
      <w:r>
        <w:rPr/>
        <w:t xml:space="preserve">，而是保持 </w:t>
      </w:r>
      <w:r>
        <w:rPr/>
        <w:t xml:space="preserve">CPU/GPU </w:t>
      </w:r>
      <w:r>
        <w:rPr/>
        <w:t xml:space="preserve">一致语义的算子库。我们在 </w:t>
      </w:r>
      <w:r>
        <w:rPr/>
        <w:t xml:space="preserve">ZQ500 </w:t>
      </w:r>
      <w:r>
        <w:rPr/>
        <w:t xml:space="preserve">上完成 </w:t>
      </w:r>
      <w:r>
        <w:rPr/>
        <w:t xml:space="preserve">81 </w:t>
      </w:r>
      <w:r>
        <w:rPr/>
        <w:t xml:space="preserve">个公开算子的 </w:t>
      </w:r>
      <w:r>
        <w:rPr/>
        <w:t xml:space="preserve">GPU </w:t>
      </w:r>
      <w:r>
        <w:rPr/>
        <w:t>执行，并跑通雷达检测、特征融合跟踪两条任务，交付正确性、性能和可追溯报告。难点同时在算子并行化、任务组合和双后端验证。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P04</w:t>
      </w:r>
      <w:r>
        <w:rPr/>
        <w:t>｜代码架构（</w:t>
      </w:r>
      <w:r>
        <w:rPr/>
        <w:t xml:space="preserve">18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架构分为公开 </w:t>
      </w:r>
      <w:r>
        <w:rPr/>
        <w:t>API</w:t>
      </w:r>
      <w:r>
        <w:rPr/>
        <w:t xml:space="preserve">、共享语义和 </w:t>
      </w:r>
      <w:r>
        <w:rPr/>
        <w:t xml:space="preserve">CPU/ZQ500 </w:t>
      </w:r>
      <w:r>
        <w:rPr/>
        <w:t xml:space="preserve">双后端三层。右侧是 </w:t>
      </w:r>
      <w:r>
        <w:rPr/>
        <w:t xml:space="preserve">README </w:t>
      </w:r>
      <w:r>
        <w:rPr/>
        <w:t>的真实目录树。两条任务均调用同一套接口；</w:t>
      </w:r>
      <w:r>
        <w:rPr/>
        <w:t xml:space="preserve">Task2 helper </w:t>
      </w:r>
      <w:r>
        <w:rPr/>
        <w:t>只承担批处理与紧凑输出，不形成额外后端。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P05</w:t>
      </w:r>
      <w:r>
        <w:rPr/>
        <w:t>｜技术路线（</w:t>
      </w:r>
      <w:r>
        <w:rPr/>
        <w:t xml:space="preserve">18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>技术路线概括为“</w:t>
      </w:r>
      <w:r>
        <w:rPr/>
        <w:t xml:space="preserve">3 </w:t>
      </w:r>
      <w:r>
        <w:rPr/>
        <w:t>类公共机制、</w:t>
      </w:r>
      <w:r>
        <w:rPr/>
        <w:t xml:space="preserve">2 </w:t>
      </w:r>
      <w:r>
        <w:rPr/>
        <w:t>条应用构建、</w:t>
      </w:r>
      <w:r>
        <w:rPr/>
        <w:t xml:space="preserve">5 </w:t>
      </w:r>
      <w:r>
        <w:rPr/>
        <w:t xml:space="preserve">类组合路径”。底层解决访存复用、依赖重构和路径分派；上层构建 </w:t>
      </w:r>
      <w:r>
        <w:rPr/>
        <w:t xml:space="preserve">Task1 </w:t>
      </w:r>
      <w:r>
        <w:rPr/>
        <w:t xml:space="preserve">公开算子链与 </w:t>
      </w:r>
      <w:r>
        <w:rPr/>
        <w:t xml:space="preserve">Task2 </w:t>
      </w:r>
      <w:r>
        <w:rPr/>
        <w:t>混合特化链。下面用三个代表算子展开公共机制。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P06</w:t>
      </w:r>
      <w:r>
        <w:rPr/>
        <w:t>｜公共机制一：访存与资源复用（</w:t>
      </w:r>
      <w:r>
        <w:rPr/>
        <w:t xml:space="preserve">38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>第一类机制是访存与资源复用。</w:t>
      </w:r>
      <w:r>
        <w:rPr/>
        <w:t xml:space="preserve">Wiener </w:t>
      </w:r>
      <w:r>
        <w:rPr/>
        <w:t xml:space="preserve">的相邻窗口重复读取 </w:t>
      </w:r>
      <w:r>
        <w:rPr/>
        <w:t>global memory</w:t>
      </w:r>
      <w:r>
        <w:rPr/>
        <w:t xml:space="preserve">；我们将输出和 </w:t>
      </w:r>
      <w:r>
        <w:rPr/>
        <w:t xml:space="preserve">halo </w:t>
      </w:r>
      <w:r>
        <w:rPr/>
        <w:t xml:space="preserve">划为 </w:t>
      </w:r>
      <w:r>
        <w:rPr/>
        <w:t>tile</w:t>
      </w:r>
      <w:r>
        <w:rPr/>
        <w:t xml:space="preserve">，协作加载到 </w:t>
      </w:r>
      <w:r>
        <w:rPr/>
        <w:t>shared memory</w:t>
      </w:r>
      <w:r>
        <w:rPr/>
        <w:t>，再由多个输出复用。</w:t>
      </w:r>
      <w:r>
        <w:rPr/>
        <w:t>allocation</w:t>
      </w:r>
      <w:r>
        <w:rPr/>
        <w:t>、</w:t>
      </w:r>
      <w:r>
        <w:rPr/>
        <w:t xml:space="preserve">window </w:t>
      </w:r>
      <w:r>
        <w:rPr/>
        <w:t xml:space="preserve">和 </w:t>
      </w:r>
      <w:r>
        <w:rPr/>
        <w:t xml:space="preserve">prepared </w:t>
      </w:r>
      <w:r>
        <w:rPr/>
        <w:t xml:space="preserve">资源按 </w:t>
      </w:r>
      <w:r>
        <w:rPr/>
        <w:t xml:space="preserve">key </w:t>
      </w:r>
      <w:r>
        <w:rPr/>
        <w:t>缓存，减少重复准备。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代表路径由 </w:t>
      </w:r>
      <w:r>
        <w:rPr/>
        <w:t xml:space="preserve">214.44 </w:t>
      </w:r>
      <w:r>
        <w:rPr/>
        <w:t xml:space="preserve">毫秒降至 </w:t>
      </w:r>
      <w:r>
        <w:rPr/>
        <w:t xml:space="preserve">3.50 </w:t>
      </w:r>
      <w:r>
        <w:rPr/>
        <w:t xml:space="preserve">毫秒，提升 </w:t>
      </w:r>
      <w:r>
        <w:rPr/>
        <w:t xml:space="preserve">61.27 </w:t>
      </w:r>
      <w:r>
        <w:rPr/>
        <w:t>倍。该数字是历史整体路径对比，不能拆为单机制收益；</w:t>
      </w:r>
      <w:r>
        <w:rPr/>
        <w:t xml:space="preserve">fast path </w:t>
      </w:r>
      <w:r>
        <w:rPr/>
        <w:t>仍受二维奇数窗口等条件限制。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P07</w:t>
      </w:r>
      <w:r>
        <w:rPr/>
        <w:t>｜公共机制二：并行结构重构（</w:t>
      </w:r>
      <w:r>
        <w:rPr/>
        <w:t xml:space="preserve">38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>第二类机制解决递归依赖。</w:t>
      </w:r>
      <w:r>
        <w:rPr/>
        <w:t xml:space="preserve">IIR </w:t>
      </w:r>
      <w:r>
        <w:rPr/>
        <w:t xml:space="preserve">的当前状态依赖前一状态，不能直接逐样本并行。我们将递推改写为 </w:t>
      </w:r>
      <w:r>
        <w:rPr/>
        <w:t>affine transform</w:t>
      </w:r>
      <w:r>
        <w:rPr/>
        <w:t xml:space="preserve">，再用 </w:t>
      </w:r>
      <w:r>
        <w:rPr/>
        <w:t xml:space="preserve">tile </w:t>
      </w:r>
      <w:r>
        <w:rPr/>
        <w:t xml:space="preserve">内 </w:t>
      </w:r>
      <w:r>
        <w:rPr/>
        <w:t>scan</w:t>
      </w:r>
      <w:r>
        <w:rPr/>
        <w:t>、</w:t>
      </w:r>
      <w:r>
        <w:rPr/>
        <w:t xml:space="preserve">tile </w:t>
      </w:r>
      <w:r>
        <w:rPr/>
        <w:t xml:space="preserve">间 </w:t>
      </w:r>
      <w:r>
        <w:rPr/>
        <w:t>scan</w:t>
      </w:r>
      <w:r>
        <w:rPr/>
        <w:t>、初态传播和并行回代分层执行。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代表 </w:t>
      </w:r>
      <w:r>
        <w:rPr/>
        <w:t xml:space="preserve">lfilter </w:t>
      </w:r>
      <w:r>
        <w:rPr/>
        <w:t xml:space="preserve">路径由 </w:t>
      </w:r>
      <w:r>
        <w:rPr/>
        <w:t xml:space="preserve">455.17 </w:t>
      </w:r>
      <w:r>
        <w:rPr/>
        <w:t xml:space="preserve">毫秒降至 </w:t>
      </w:r>
      <w:r>
        <w:rPr/>
        <w:t xml:space="preserve">0.359 </w:t>
      </w:r>
      <w:r>
        <w:rPr/>
        <w:t xml:space="preserve">毫秒，提升 </w:t>
      </w:r>
      <w:r>
        <w:rPr/>
        <w:t xml:space="preserve">1267.88 </w:t>
      </w:r>
      <w:r>
        <w:rPr/>
        <w:t xml:space="preserve">倍，同样是历史整体路径对比。低阶长序列适用 </w:t>
      </w:r>
      <w:r>
        <w:rPr/>
        <w:t>fast path</w:t>
      </w:r>
      <w:r>
        <w:rPr/>
        <w:t>；高阶、多线和短序列仍需通用路径。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P08</w:t>
      </w:r>
      <w:r>
        <w:rPr/>
        <w:t xml:space="preserve">｜公共机制三：形状分派与算子内 </w:t>
      </w:r>
      <w:r>
        <w:rPr/>
        <w:t>Fusion</w:t>
      </w:r>
      <w:r>
        <w:rPr/>
        <w:t>（</w:t>
      </w:r>
      <w:r>
        <w:rPr/>
        <w:t xml:space="preserve">38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第三类机制是 </w:t>
      </w:r>
      <w:r>
        <w:rPr/>
        <w:t xml:space="preserve">shape-aware </w:t>
      </w:r>
      <w:r>
        <w:rPr/>
        <w:t xml:space="preserve">分派与算子内 </w:t>
      </w:r>
      <w:r>
        <w:rPr/>
        <w:t>fusion</w:t>
      </w:r>
      <w:r>
        <w:rPr/>
        <w:t>。</w:t>
      </w:r>
      <w:r>
        <w:rPr/>
        <w:t xml:space="preserve">Periodogram </w:t>
      </w:r>
      <w:r>
        <w:rPr/>
        <w:t xml:space="preserve">对实输入选择 </w:t>
      </w:r>
      <w:r>
        <w:rPr/>
        <w:t>R2C FFT</w:t>
      </w:r>
      <w:r>
        <w:rPr/>
        <w:t xml:space="preserve">，避免计算负频率；再融合前后处理，减少中间写回和 </w:t>
      </w:r>
      <w:r>
        <w:rPr/>
        <w:t>launch</w:t>
      </w:r>
      <w:r>
        <w:rPr/>
        <w:t>。</w:t>
      </w:r>
      <w:r>
        <w:rPr/>
        <w:t xml:space="preserve">FFT library call </w:t>
      </w:r>
      <w:r>
        <w:rPr/>
        <w:t>仍是独立节点。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代表路径由 </w:t>
      </w:r>
      <w:r>
        <w:rPr/>
        <w:t xml:space="preserve">72.91 </w:t>
      </w:r>
      <w:r>
        <w:rPr/>
        <w:t xml:space="preserve">毫秒降至 </w:t>
      </w:r>
      <w:r>
        <w:rPr/>
        <w:t xml:space="preserve">0.669 </w:t>
      </w:r>
      <w:r>
        <w:rPr/>
        <w:t xml:space="preserve">毫秒，提升 </w:t>
      </w:r>
      <w:r>
        <w:rPr/>
        <w:t xml:space="preserve">108.98 </w:t>
      </w:r>
      <w:r>
        <w:rPr/>
        <w:t xml:space="preserve">倍，属于历史整体路径对比。部分 </w:t>
      </w:r>
      <w:r>
        <w:rPr/>
        <w:t>CSD</w:t>
      </w:r>
      <w:r>
        <w:rPr/>
        <w:t>、</w:t>
      </w:r>
      <w:r>
        <w:rPr/>
        <w:t xml:space="preserve">spectrogram </w:t>
      </w:r>
      <w:r>
        <w:rPr/>
        <w:t xml:space="preserve">路径受数值约束，仍保留 </w:t>
      </w:r>
      <w:r>
        <w:rPr/>
        <w:t>C2C</w:t>
      </w:r>
      <w:r>
        <w:rPr/>
        <w:t>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P09</w:t>
      </w:r>
      <w:r>
        <w:rPr/>
        <w:t>｜第一层性能：任务直接依赖算子（</w:t>
      </w:r>
      <w:r>
        <w:rPr/>
        <w:t xml:space="preserve">25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前三页说明机制，本页开始展示性能覆盖。第一层是两条任务直接依赖的 </w:t>
      </w:r>
      <w:r>
        <w:rPr/>
        <w:t xml:space="preserve">27 </w:t>
      </w:r>
      <w:r>
        <w:rPr/>
        <w:t>个算子；请关注模块分布、</w:t>
      </w:r>
      <w:r>
        <w:rPr/>
        <w:t xml:space="preserve">1 </w:t>
      </w:r>
      <w:r>
        <w:rPr/>
        <w:t>倍基准线和代表算子，而不逐项朗读名称。</w:t>
      </w:r>
    </w:p>
    <w:p>
      <w:pPr>
        <w:pStyle w:val="TextBody"/>
        <w:bidi w:val="0"/>
        <w:spacing w:before="0" w:after="160"/>
        <w:jc w:val="both"/>
        <w:rPr/>
      </w:pPr>
      <w:r>
        <w:rPr/>
        <w:t>【待填：从正式图中只补读一项代表模块或算子结论，以及一项加速</w:t>
      </w:r>
      <w:r>
        <w:rPr/>
        <w:t>/</w:t>
      </w:r>
      <w:r>
        <w:rPr/>
        <w:t xml:space="preserve">未加速计数。】低于 </w:t>
      </w:r>
      <w:r>
        <w:rPr/>
        <w:t xml:space="preserve">1 </w:t>
      </w:r>
      <w:r>
        <w:rPr/>
        <w:t>倍的点也必须保留，它们通常反映固定启动开销、规模不足或串行依赖，而不是被隐藏的异常数据。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P10</w:t>
      </w:r>
      <w:r>
        <w:rPr/>
        <w:t>｜第二层性能：扩展算子集合（</w:t>
      </w:r>
      <w:r>
        <w:rPr/>
        <w:t xml:space="preserve">25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第二层展示扩展集合的 </w:t>
      </w:r>
      <w:r>
        <w:rPr/>
        <w:t xml:space="preserve">28 </w:t>
      </w:r>
      <w:r>
        <w:rPr/>
        <w:t xml:space="preserve">个算子，说明优化不只覆盖两条任务。它与上一页使用相同的测评口径和 </w:t>
      </w:r>
      <w:r>
        <w:rPr/>
        <w:t xml:space="preserve">1 </w:t>
      </w:r>
      <w:r>
        <w:rPr/>
        <w:t>倍参考线，可横向观察各模块的并行适配性。</w:t>
      </w:r>
    </w:p>
    <w:p>
      <w:pPr>
        <w:pStyle w:val="TextBody"/>
        <w:bidi w:val="0"/>
        <w:spacing w:before="0" w:after="160"/>
        <w:jc w:val="both"/>
        <w:rPr/>
      </w:pPr>
      <w:r>
        <w:rPr/>
        <w:t>【待填：从正式图中只补读一项代表模块或算子结论，以及一项加速</w:t>
      </w:r>
      <w:r>
        <w:rPr/>
        <w:t>/</w:t>
      </w:r>
      <w:r>
        <w:rPr/>
        <w:t>未加速计数。】本页集合名称须与官方附录名单核对；无论名称如何确认，都不能与其他两页的算子数相加成新的总数。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P11</w:t>
      </w:r>
      <w:r>
        <w:rPr/>
        <w:t>｜第三层性能：原生基础算子（</w:t>
      </w:r>
      <w:r>
        <w:rPr/>
        <w:t xml:space="preserve">25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第三层为 </w:t>
      </w:r>
      <w:r>
        <w:rPr/>
        <w:t xml:space="preserve">53 </w:t>
      </w:r>
      <w:r>
        <w:rPr/>
        <w:t xml:space="preserve">个原生基础算子，其中包含 </w:t>
      </w:r>
      <w:r>
        <w:rPr/>
        <w:t xml:space="preserve">task27 </w:t>
      </w:r>
      <w:r>
        <w:rPr/>
        <w:t xml:space="preserve">优先子集。因此三层表达优化覆盖深度，不是 </w:t>
      </w:r>
      <w:r>
        <w:rPr/>
        <w:t>27</w:t>
      </w:r>
      <w:r>
        <w:rPr/>
        <w:t>、</w:t>
      </w:r>
      <w:r>
        <w:rPr/>
        <w:t>28</w:t>
      </w:r>
      <w:r>
        <w:rPr/>
        <w:t>、</w:t>
      </w:r>
      <w:r>
        <w:rPr/>
        <w:t xml:space="preserve">53 </w:t>
      </w:r>
      <w:r>
        <w:rPr/>
        <w:t xml:space="preserve">的数量相加；完整注册集合始终是 </w:t>
      </w:r>
      <w:r>
        <w:rPr/>
        <w:t xml:space="preserve">81 </w:t>
      </w:r>
      <w:r>
        <w:rPr/>
        <w:t>个。</w:t>
      </w:r>
    </w:p>
    <w:p>
      <w:pPr>
        <w:pStyle w:val="TextBody"/>
        <w:bidi w:val="0"/>
        <w:spacing w:before="0" w:after="160"/>
        <w:jc w:val="both"/>
        <w:rPr/>
      </w:pPr>
      <w:r>
        <w:rPr/>
        <w:t>【待填：从正式图中只补读一项代表模块或算子结论，以及一项加速</w:t>
      </w:r>
      <w:r>
        <w:rPr/>
        <w:t>/</w:t>
      </w:r>
      <w:r>
        <w:rPr/>
        <w:t xml:space="preserve">未加速计数。】三页共同回答的是：哪些模块已经释放 </w:t>
      </w:r>
      <w:r>
        <w:rPr/>
        <w:t xml:space="preserve">GPU </w:t>
      </w:r>
      <w:r>
        <w:rPr/>
        <w:t>并行度，哪些仍受访存、依赖或固定开销限制；其原因在后续任务与改进页继续说明。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P12</w:t>
      </w:r>
      <w:r>
        <w:rPr/>
        <w:t>｜</w:t>
      </w:r>
      <w:r>
        <w:rPr/>
        <w:t>Task1</w:t>
      </w:r>
      <w:r>
        <w:rPr/>
        <w:t>：公开算子链构建（</w:t>
      </w:r>
      <w:r>
        <w:rPr/>
        <w:t xml:space="preserve">35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Task1 </w:t>
      </w:r>
      <w:r>
        <w:rPr/>
        <w:t xml:space="preserve">是雷达检测任务，六个正式步骤均由公开算子库的 </w:t>
      </w:r>
      <w:r>
        <w:rPr/>
        <w:t xml:space="preserve">GPU </w:t>
      </w:r>
      <w:r>
        <w:rPr/>
        <w:t>实现组合完成。输入入口上传后，</w:t>
      </w:r>
      <w:r>
        <w:rPr/>
        <w:t xml:space="preserve">Device </w:t>
      </w:r>
      <w:r>
        <w:rPr/>
        <w:t>输出直接传给下游，到验证边界才统一回传。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具体采用模板 </w:t>
      </w:r>
      <w:r>
        <w:rPr/>
        <w:t xml:space="preserve">FFT </w:t>
      </w:r>
      <w:r>
        <w:rPr/>
        <w:t>内容复用、</w:t>
      </w:r>
      <w:r>
        <w:rPr/>
        <w:t xml:space="preserve">scale </w:t>
      </w:r>
      <w:r>
        <w:rPr/>
        <w:t xml:space="preserve">与 </w:t>
      </w:r>
      <w:r>
        <w:rPr/>
        <w:t xml:space="preserve">transpose/shift </w:t>
      </w:r>
      <w:r>
        <w:rPr/>
        <w:t>融合直写、</w:t>
      </w:r>
      <w:r>
        <w:rPr/>
        <w:t>CFAR row-prefix</w:t>
      </w:r>
      <w:r>
        <w:rPr/>
        <w:t xml:space="preserve">、两级 </w:t>
      </w:r>
      <w:r>
        <w:rPr/>
        <w:t xml:space="preserve">peak reduction </w:t>
      </w:r>
      <w:r>
        <w:rPr/>
        <w:t xml:space="preserve">和 </w:t>
      </w:r>
      <w:r>
        <w:rPr/>
        <w:t xml:space="preserve">detection list </w:t>
      </w:r>
      <w:r>
        <w:rPr/>
        <w:t>紧凑回传，减少往返、中间数据和同步开销。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P13</w:t>
      </w:r>
      <w:r>
        <w:rPr/>
        <w:t>｜</w:t>
      </w:r>
      <w:r>
        <w:rPr/>
        <w:t>Task1</w:t>
      </w:r>
      <w:r>
        <w:rPr/>
        <w:t xml:space="preserve">：统一 </w:t>
      </w:r>
      <w:r>
        <w:rPr/>
        <w:t>L1</w:t>
      </w:r>
      <w:r>
        <w:rPr/>
        <w:t>～</w:t>
      </w:r>
      <w:r>
        <w:rPr/>
        <w:t xml:space="preserve">L6 </w:t>
      </w:r>
      <w:r>
        <w:rPr/>
        <w:t>端到端性能（</w:t>
      </w:r>
      <w:r>
        <w:rPr/>
        <w:t xml:space="preserve">30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Task1 </w:t>
      </w:r>
      <w:r>
        <w:rPr/>
        <w:t>固定模板、</w:t>
      </w:r>
      <w:r>
        <w:rPr/>
        <w:t>FFT</w:t>
      </w:r>
      <w:r>
        <w:rPr/>
        <w:t>、</w:t>
      </w:r>
      <w:r>
        <w:rPr/>
        <w:t>Hann</w:t>
      </w:r>
      <w:r>
        <w:rPr/>
        <w:t>、</w:t>
      </w:r>
      <w:r>
        <w:rPr/>
        <w:t xml:space="preserve">CFAR </w:t>
      </w:r>
      <w:r>
        <w:rPr/>
        <w:t xml:space="preserve">与公开算子链，只改变输入规模。全曲线保持 </w:t>
      </w:r>
      <w:r>
        <w:rPr/>
        <w:t xml:space="preserve">25 </w:t>
      </w:r>
      <w:r>
        <w:rPr/>
        <w:t>倍以上；</w:t>
      </w:r>
      <w:r>
        <w:rPr/>
        <w:t xml:space="preserve">L6 CPU </w:t>
      </w:r>
      <w:r>
        <w:rPr/>
        <w:t xml:space="preserve">为 </w:t>
      </w:r>
      <w:r>
        <w:rPr/>
        <w:t xml:space="preserve">364.8 </w:t>
      </w:r>
      <w:r>
        <w:rPr/>
        <w:t>毫秒，</w:t>
      </w:r>
      <w:r>
        <w:rPr/>
        <w:t xml:space="preserve">ZQ500 GPU </w:t>
      </w:r>
      <w:r>
        <w:rPr/>
        <w:t xml:space="preserve">为 </w:t>
      </w:r>
      <w:r>
        <w:rPr/>
        <w:t xml:space="preserve">11.0 </w:t>
      </w:r>
      <w:r>
        <w:rPr/>
        <w:t xml:space="preserve">毫秒，加速比为 </w:t>
      </w:r>
      <w:r>
        <w:rPr/>
        <w:t xml:space="preserve">33.09 </w:t>
      </w:r>
      <w:r>
        <w:rPr/>
        <w:t>倍。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结果取 </w:t>
      </w:r>
      <w:r>
        <w:rPr/>
        <w:t xml:space="preserve">7 </w:t>
      </w:r>
      <w:r>
        <w:rPr/>
        <w:t xml:space="preserve">次运行并排除首轮 </w:t>
      </w:r>
      <w:r>
        <w:rPr/>
        <w:t>warm-up</w:t>
      </w:r>
      <w:r>
        <w:rPr/>
        <w:t>。</w:t>
      </w:r>
      <w:r>
        <w:rPr/>
        <w:t xml:space="preserve">L6 </w:t>
      </w:r>
      <w:r>
        <w:rPr/>
        <w:t xml:space="preserve">的 </w:t>
      </w:r>
      <w:r>
        <w:rPr/>
        <w:t>Expected</w:t>
      </w:r>
      <w:r>
        <w:rPr/>
        <w:t>、</w:t>
      </w:r>
      <w:r>
        <w:rPr/>
        <w:t>CPU</w:t>
      </w:r>
      <w:r>
        <w:rPr/>
        <w:t>、</w:t>
      </w:r>
      <w:r>
        <w:rPr/>
        <w:t xml:space="preserve">GPU </w:t>
      </w:r>
      <w:r>
        <w:rPr/>
        <w:t>检测位置一致，</w:t>
      </w:r>
      <w:r>
        <w:rPr/>
        <w:t xml:space="preserve">CFAR </w:t>
      </w:r>
      <w:r>
        <w:rPr/>
        <w:t xml:space="preserve">误差 </w:t>
      </w:r>
      <w:r>
        <w:rPr/>
        <w:t xml:space="preserve">0.276398 </w:t>
      </w:r>
      <w:r>
        <w:rPr/>
        <w:t xml:space="preserve">小于 </w:t>
      </w:r>
      <w:r>
        <w:rPr/>
        <w:t>0.5</w:t>
      </w:r>
      <w:r>
        <w:rPr/>
        <w:t>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P14</w:t>
      </w:r>
      <w:r>
        <w:rPr/>
        <w:t>｜</w:t>
      </w:r>
      <w:r>
        <w:rPr/>
        <w:t>Task2</w:t>
      </w:r>
      <w:r>
        <w:rPr/>
        <w:t xml:space="preserve">：批量 </w:t>
      </w:r>
      <w:r>
        <w:rPr/>
        <w:t xml:space="preserve">score-only </w:t>
      </w:r>
      <w:r>
        <w:rPr/>
        <w:t>混合链（</w:t>
      </w:r>
      <w:r>
        <w:rPr/>
        <w:t xml:space="preserve">35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Task2 </w:t>
      </w:r>
      <w:r>
        <w:rPr/>
        <w:t xml:space="preserve">的关键是 </w:t>
      </w:r>
      <w:r>
        <w:rPr/>
        <w:t>score-only</w:t>
      </w:r>
      <w:r>
        <w:rPr/>
        <w:t>：不逐帧物化完整相关、谱图和小波张量。</w:t>
      </w:r>
      <w:r>
        <w:rPr/>
        <w:t xml:space="preserve">GPU </w:t>
      </w:r>
      <w:r>
        <w:rPr/>
        <w:t xml:space="preserve">按 </w:t>
      </w:r>
      <w:r>
        <w:rPr/>
        <w:t xml:space="preserve">batch </w:t>
      </w:r>
      <w:r>
        <w:rPr/>
        <w:t xml:space="preserve">驻留，生成四路 </w:t>
      </w:r>
      <w:r>
        <w:rPr/>
        <w:t>score</w:t>
      </w:r>
      <w:r>
        <w:rPr/>
        <w:t>，再完成融合、</w:t>
      </w:r>
      <w:r>
        <w:rPr/>
        <w:t xml:space="preserve">peak </w:t>
      </w:r>
      <w:r>
        <w:rPr/>
        <w:t xml:space="preserve">和 </w:t>
      </w:r>
      <w:r>
        <w:rPr/>
        <w:t>Kalman</w:t>
      </w:r>
      <w:r>
        <w:rPr/>
        <w:t xml:space="preserve">，只在链尾输出紧凑 </w:t>
      </w:r>
      <w:r>
        <w:rPr/>
        <w:t>track</w:t>
      </w:r>
      <w:r>
        <w:rPr/>
        <w:t>。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预编译 </w:t>
      </w:r>
      <w:r>
        <w:rPr/>
        <w:t xml:space="preserve">correlate </w:t>
      </w:r>
      <w:r>
        <w:rPr/>
        <w:t xml:space="preserve">与 </w:t>
      </w:r>
      <w:r>
        <w:rPr/>
        <w:t xml:space="preserve">spectral </w:t>
      </w:r>
      <w:r>
        <w:rPr/>
        <w:t xml:space="preserve">路径是协同调用的任务级 </w:t>
      </w:r>
      <w:r>
        <w:rPr/>
        <w:t>helper</w:t>
      </w:r>
      <w:r>
        <w:rPr/>
        <w:t>，不是第三后端；带内和尺度归约提前完成，</w:t>
      </w:r>
      <w:r>
        <w:rPr/>
        <w:t xml:space="preserve">Kalman </w:t>
      </w:r>
      <w:r>
        <w:rPr/>
        <w:t>跨帧状态仍有串行依赖。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P15</w:t>
      </w:r>
      <w:r>
        <w:rPr/>
        <w:t>｜</w:t>
      </w:r>
      <w:r>
        <w:rPr/>
        <w:t>Task2</w:t>
      </w:r>
      <w:r>
        <w:rPr/>
        <w:t xml:space="preserve">：统一 </w:t>
      </w:r>
      <w:r>
        <w:rPr/>
        <w:t>L1</w:t>
      </w:r>
      <w:r>
        <w:rPr/>
        <w:t>～</w:t>
      </w:r>
      <w:r>
        <w:rPr/>
        <w:t xml:space="preserve">L6 </w:t>
      </w:r>
      <w:r>
        <w:rPr/>
        <w:t>端到端性能（</w:t>
      </w:r>
      <w:r>
        <w:rPr/>
        <w:t xml:space="preserve">30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Task2 </w:t>
      </w:r>
      <w:r>
        <w:rPr/>
        <w:t xml:space="preserve">固定 </w:t>
      </w:r>
      <w:r>
        <w:rPr/>
        <w:t xml:space="preserve">score-only </w:t>
      </w:r>
      <w:r>
        <w:rPr/>
        <w:t>语义，只改变帧数；</w:t>
      </w:r>
      <w:r>
        <w:rPr/>
        <w:t xml:space="preserve">batch </w:t>
      </w:r>
      <w:r>
        <w:rPr/>
        <w:t>扩大后并行度更充分。</w:t>
      </w:r>
      <w:r>
        <w:rPr/>
        <w:t xml:space="preserve">L6 CPU </w:t>
      </w:r>
      <w:r>
        <w:rPr/>
        <w:t xml:space="preserve">为 </w:t>
      </w:r>
      <w:r>
        <w:rPr/>
        <w:t xml:space="preserve">28363.1 </w:t>
      </w:r>
      <w:r>
        <w:rPr/>
        <w:t>毫秒，</w:t>
      </w:r>
      <w:r>
        <w:rPr/>
        <w:t xml:space="preserve">ZQ500 GPU </w:t>
      </w:r>
      <w:r>
        <w:rPr/>
        <w:t xml:space="preserve">为 </w:t>
      </w:r>
      <w:r>
        <w:rPr/>
        <w:t xml:space="preserve">27.0 </w:t>
      </w:r>
      <w:r>
        <w:rPr/>
        <w:t xml:space="preserve">毫秒，对应 </w:t>
      </w:r>
      <w:r>
        <w:rPr/>
        <w:t xml:space="preserve">1048.78 </w:t>
      </w:r>
      <w:r>
        <w:rPr/>
        <w:t>倍。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CPU/GPU peak track </w:t>
      </w:r>
      <w:r>
        <w:rPr/>
        <w:t>一致，</w:t>
      </w:r>
      <w:r>
        <w:rPr/>
        <w:t xml:space="preserve">RMSE </w:t>
      </w:r>
      <w:r>
        <w:rPr/>
        <w:t xml:space="preserve">为 </w:t>
      </w:r>
      <w:r>
        <w:rPr/>
        <w:t>0.477855</w:t>
      </w:r>
      <w:r>
        <w:rPr/>
        <w:t xml:space="preserve">，小于 </w:t>
      </w:r>
      <w:r>
        <w:rPr/>
        <w:t>2</w:t>
      </w:r>
      <w:r>
        <w:rPr/>
        <w:t xml:space="preserve">；特征误差小于 </w:t>
      </w:r>
      <w:r>
        <w:rPr/>
        <w:t>1e-4</w:t>
      </w:r>
      <w:r>
        <w:rPr/>
        <w:t xml:space="preserve">。对比对象仅为 </w:t>
      </w:r>
      <w:r>
        <w:rPr/>
        <w:t xml:space="preserve">CPU reference </w:t>
      </w:r>
      <w:r>
        <w:rPr/>
        <w:t xml:space="preserve">与 </w:t>
      </w:r>
      <w:r>
        <w:rPr/>
        <w:t>ZQ500 GPU</w:t>
      </w:r>
      <w:r>
        <w:rPr/>
        <w:t>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P16</w:t>
      </w:r>
      <w:r>
        <w:rPr/>
        <w:t>｜正确性与运行验证（</w:t>
      </w:r>
      <w:r>
        <w:rPr/>
        <w:t xml:space="preserve">23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覆盖、性能和误差来自同一套正式 </w:t>
      </w:r>
      <w:r>
        <w:rPr/>
        <w:t>L1</w:t>
      </w:r>
      <w:r>
        <w:rPr/>
        <w:t>～</w:t>
      </w:r>
      <w:r>
        <w:rPr/>
        <w:t xml:space="preserve">L6 </w:t>
      </w:r>
      <w:r>
        <w:rPr/>
        <w:t>报告：</w:t>
      </w:r>
      <w:r>
        <w:rPr/>
        <w:t xml:space="preserve">81 </w:t>
      </w:r>
      <w:r>
        <w:rPr/>
        <w:t xml:space="preserve">个算子有性能记录，两条任务的 </w:t>
      </w:r>
      <w:r>
        <w:rPr/>
        <w:t xml:space="preserve">12 </w:t>
      </w:r>
      <w:r>
        <w:rPr/>
        <w:t xml:space="preserve">个规模点和 </w:t>
      </w:r>
      <w:r>
        <w:rPr/>
        <w:t xml:space="preserve">14 </w:t>
      </w:r>
      <w:r>
        <w:rPr/>
        <w:t>个正式步骤均通过门限。</w:t>
      </w:r>
      <w:r>
        <w:rPr/>
        <w:t xml:space="preserve">Task1 </w:t>
      </w:r>
      <w:r>
        <w:rPr/>
        <w:t>检测位置一致，</w:t>
      </w:r>
      <w:r>
        <w:rPr/>
        <w:t xml:space="preserve">Task2 </w:t>
      </w:r>
      <w:r>
        <w:rPr/>
        <w:t xml:space="preserve">轨迹与误差满足阈值。任一验证失败，结果均不导出为 </w:t>
      </w:r>
      <w:r>
        <w:rPr/>
        <w:t>PASS</w:t>
      </w:r>
      <w:r>
        <w:rPr/>
        <w:t>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P17</w:t>
      </w:r>
      <w:r>
        <w:rPr/>
        <w:t>｜性能优缺点与改进方向（</w:t>
      </w:r>
      <w:r>
        <w:rPr/>
        <w:t xml:space="preserve">27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优势来自邻域复用、递归转并行、频谱写回压缩和链内驻留。瓶颈主要是访存、多阶段 </w:t>
      </w:r>
      <w:r>
        <w:rPr/>
        <w:t>launch</w:t>
      </w:r>
      <w:r>
        <w:rPr/>
        <w:t xml:space="preserve">、固定开销和 </w:t>
      </w:r>
      <w:r>
        <w:rPr/>
        <w:t xml:space="preserve">Kalman </w:t>
      </w:r>
      <w:r>
        <w:rPr/>
        <w:t>串行链。</w:t>
      </w:r>
    </w:p>
    <w:p>
      <w:pPr>
        <w:pStyle w:val="TextBody"/>
        <w:bidi w:val="0"/>
        <w:spacing w:before="0" w:after="160"/>
        <w:jc w:val="both"/>
        <w:rPr/>
      </w:pPr>
      <w:r>
        <w:rPr/>
        <w:t>下一步在统一规模下做单项参数对照：</w:t>
      </w:r>
      <w:r>
        <w:rPr/>
        <w:t xml:space="preserve">Tile/Halo </w:t>
      </w:r>
      <w:r>
        <w:rPr/>
        <w:t xml:space="preserve">调 </w:t>
      </w:r>
      <w:r>
        <w:rPr/>
        <w:t>block</w:t>
      </w:r>
      <w:r>
        <w:rPr/>
        <w:t>、</w:t>
      </w:r>
      <w:r>
        <w:rPr/>
        <w:t>halo</w:t>
      </w:r>
      <w:r>
        <w:rPr/>
        <w:t>；</w:t>
      </w:r>
      <w:r>
        <w:rPr/>
        <w:t xml:space="preserve">CFAR </w:t>
      </w:r>
      <w:r>
        <w:rPr/>
        <w:t xml:space="preserve">调 </w:t>
      </w:r>
      <w:r>
        <w:rPr/>
        <w:t>guard</w:t>
      </w:r>
      <w:r>
        <w:rPr/>
        <w:t>、</w:t>
      </w:r>
      <w:r>
        <w:rPr/>
        <w:t>reference</w:t>
      </w:r>
      <w:r>
        <w:rPr/>
        <w:t>、</w:t>
      </w:r>
      <w:r>
        <w:rPr/>
        <w:t>pfa</w:t>
      </w:r>
      <w:r>
        <w:rPr/>
        <w:t>；</w:t>
      </w:r>
      <w:r>
        <w:rPr/>
        <w:t xml:space="preserve">Task2 </w:t>
      </w:r>
      <w:r>
        <w:rPr/>
        <w:t xml:space="preserve">调 </w:t>
      </w:r>
      <w:r>
        <w:rPr/>
        <w:t>batch</w:t>
      </w:r>
      <w:r>
        <w:rPr/>
        <w:t>、</w:t>
      </w:r>
      <w:r>
        <w:rPr/>
        <w:t>shape</w:t>
      </w:r>
      <w:r>
        <w:rPr/>
        <w:t xml:space="preserve">，并以 </w:t>
      </w:r>
      <w:r>
        <w:rPr/>
        <w:t xml:space="preserve">L6 </w:t>
      </w:r>
      <w:r>
        <w:rPr/>
        <w:t>热点确定优先级。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P18</w:t>
      </w:r>
      <w:r>
        <w:rPr/>
        <w:t>｜核心亮点（</w:t>
      </w:r>
      <w:r>
        <w:rPr/>
        <w:t xml:space="preserve">22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项目亮点不在堆叠孤立 </w:t>
      </w:r>
      <w:r>
        <w:rPr/>
        <w:t>kernel</w:t>
      </w:r>
      <w:r>
        <w:rPr/>
        <w:t>，而在三次结构重写：</w:t>
      </w:r>
      <w:r>
        <w:rPr/>
        <w:t xml:space="preserve">Tile/Halo </w:t>
      </w:r>
      <w:r>
        <w:rPr/>
        <w:t>将重复访存转为块内复用；</w:t>
      </w:r>
      <w:r>
        <w:rPr/>
        <w:t xml:space="preserve">Affine Scan </w:t>
      </w:r>
      <w:r>
        <w:rPr/>
        <w:t xml:space="preserve">与 </w:t>
      </w:r>
      <w:r>
        <w:rPr/>
        <w:t xml:space="preserve">R2C/Fusion </w:t>
      </w:r>
      <w:r>
        <w:rPr/>
        <w:t>将递归和冗余频谱转为并行计算；</w:t>
      </w:r>
      <w:r>
        <w:rPr/>
        <w:t xml:space="preserve">Device-resident </w:t>
      </w:r>
      <w:r>
        <w:rPr/>
        <w:t xml:space="preserve">与 </w:t>
      </w:r>
      <w:r>
        <w:rPr/>
        <w:t xml:space="preserve">score-only </w:t>
      </w:r>
      <w:r>
        <w:rPr/>
        <w:t>按任务语义删除无用中间量。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P19</w:t>
      </w:r>
      <w:r>
        <w:rPr/>
        <w:t>｜</w:t>
      </w:r>
      <w:r>
        <w:rPr/>
        <w:t xml:space="preserve">AI </w:t>
      </w:r>
      <w:r>
        <w:rPr/>
        <w:t>工具使用说明（</w:t>
      </w:r>
      <w:r>
        <w:rPr/>
        <w:t xml:space="preserve">13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AI </w:t>
      </w:r>
      <w:r>
        <w:rPr/>
        <w:t xml:space="preserve">用于代码、报告审计和材料表达：代码辅助占 </w:t>
      </w:r>
      <w:r>
        <w:rPr/>
        <w:t>90%</w:t>
      </w:r>
      <w:r>
        <w:rPr/>
        <w:t xml:space="preserve">，文档与 </w:t>
      </w:r>
      <w:r>
        <w:rPr/>
        <w:t xml:space="preserve">PPT </w:t>
      </w:r>
      <w:r>
        <w:rPr/>
        <w:t xml:space="preserve">辅助占 </w:t>
      </w:r>
      <w:r>
        <w:rPr/>
        <w:t>60%</w:t>
      </w:r>
      <w:r>
        <w:rPr/>
        <w:t xml:space="preserve">。核心亮点与优化技术由团队提出，非 </w:t>
      </w:r>
      <w:r>
        <w:rPr/>
        <w:t xml:space="preserve">AI </w:t>
      </w:r>
      <w:r>
        <w:rPr/>
        <w:t>生成；性能、源码与正确性结论均经真实运行和人工复核。</w:t>
      </w:r>
    </w:p>
    <w:p>
      <w:pPr>
        <w:pStyle w:val="Heading2slide"/>
        <w:pBdr>
          <w:bottom w:val="single" w:sz="16" w:space="4" w:color="00A6A6"/>
        </w:pBdr>
        <w:bidi w:val="0"/>
        <w:jc w:val="left"/>
        <w:rPr/>
      </w:pPr>
      <w:r>
        <w:rPr/>
        <w:t>P20</w:t>
      </w:r>
      <w:r>
        <w:rPr/>
        <w:t>｜致谢（</w:t>
      </w:r>
      <w:r>
        <w:rPr/>
        <w:t xml:space="preserve">10 </w:t>
      </w:r>
      <w:r>
        <w:rPr/>
        <w:t>秒）</w:t>
      </w:r>
    </w:p>
    <w:p>
      <w:pPr>
        <w:pStyle w:val="TextBody"/>
        <w:bidi w:val="0"/>
        <w:spacing w:before="0" w:after="160"/>
        <w:jc w:val="both"/>
        <w:rPr/>
      </w:pPr>
      <w:r>
        <w:rPr/>
        <w:t>以上是我们的汇报，感谢各位评委老师聆听，恳请批评指正。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演练提醒</w:t>
      </w:r>
    </w:p>
    <w:p>
      <w:pPr>
        <w:pStyle w:val="TextBody"/>
        <w:bidi w:val="0"/>
        <w:spacing w:before="0" w:after="160"/>
        <w:jc w:val="both"/>
        <w:rPr/>
      </w:pPr>
      <w:r>
        <w:rPr/>
        <w:t>1. P06</w:t>
      </w:r>
      <w:r>
        <w:rPr/>
        <w:t>～</w:t>
      </w:r>
      <w:r>
        <w:rPr/>
        <w:t xml:space="preserve">P08 </w:t>
      </w:r>
      <w:r>
        <w:rPr/>
        <w:t>只读一组代表数据，并紧接“历史整体路径对比、不能拆分归因”的边界说明。</w:t>
      </w:r>
    </w:p>
    <w:p>
      <w:pPr>
        <w:pStyle w:val="TextBody"/>
        <w:bidi w:val="0"/>
        <w:spacing w:before="0" w:after="160"/>
        <w:jc w:val="both"/>
        <w:rPr/>
      </w:pPr>
      <w:r>
        <w:rPr/>
        <w:t>2. P09</w:t>
      </w:r>
      <w:r>
        <w:rPr/>
        <w:t>～</w:t>
      </w:r>
      <w:r>
        <w:rPr/>
        <w:t xml:space="preserve">P11 </w:t>
      </w:r>
      <w:r>
        <w:rPr/>
        <w:t xml:space="preserve">补图后，每页最多增加一句实测结论；三页合计不得超过 </w:t>
      </w:r>
      <w:r>
        <w:rPr/>
        <w:t xml:space="preserve">75 </w:t>
      </w:r>
      <w:r>
        <w:rPr/>
        <w:t>秒。</w:t>
      </w:r>
    </w:p>
    <w:p>
      <w:pPr>
        <w:pStyle w:val="TextBody"/>
        <w:bidi w:val="0"/>
        <w:spacing w:before="0" w:after="160"/>
        <w:jc w:val="both"/>
        <w:rPr/>
      </w:pPr>
      <w:r>
        <w:rPr/>
        <w:t>3. P13</w:t>
      </w:r>
      <w:r>
        <w:rPr/>
        <w:t>、</w:t>
      </w:r>
      <w:r>
        <w:rPr/>
        <w:t xml:space="preserve">P15 </w:t>
      </w:r>
      <w:r>
        <w:rPr/>
        <w:t xml:space="preserve">的加速比均按 </w:t>
      </w:r>
      <w:r>
        <w:rPr>
          <w:rStyle w:val="SourceText"/>
        </w:rPr>
        <w:t>CPU median total / GPU median total</w:t>
      </w:r>
      <w:r>
        <w:rPr/>
        <w:t xml:space="preserve"> </w:t>
      </w:r>
      <w:r>
        <w:rPr/>
        <w:t>直接计算；不要与历史优化前后数据继续相乘或相除。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4. </w:t>
      </w:r>
      <w:r>
        <w:rPr/>
        <w:t xml:space="preserve">若现场时间紧张，优先压缩 </w:t>
      </w:r>
      <w:r>
        <w:rPr/>
        <w:t>P09</w:t>
      </w:r>
      <w:r>
        <w:rPr/>
        <w:t>～</w:t>
      </w:r>
      <w:r>
        <w:rPr/>
        <w:t xml:space="preserve">P11 </w:t>
      </w:r>
      <w:r>
        <w:rPr/>
        <w:t>的代表数据、</w:t>
      </w:r>
      <w:r>
        <w:rPr/>
        <w:t xml:space="preserve">P18 </w:t>
      </w:r>
      <w:r>
        <w:rPr/>
        <w:t xml:space="preserve">的展开与 </w:t>
      </w:r>
      <w:r>
        <w:rPr/>
        <w:t xml:space="preserve">P19 </w:t>
      </w:r>
      <w:r>
        <w:rPr/>
        <w:t>的说明，</w:t>
      </w:r>
      <w:r>
        <w:rPr/>
        <w:t>P06</w:t>
      </w:r>
      <w:r>
        <w:rPr/>
        <w:t>～</w:t>
      </w:r>
      <w:r>
        <w:rPr/>
        <w:t>P08</w:t>
      </w:r>
      <w:r>
        <w:rPr/>
        <w:t>、</w:t>
      </w:r>
      <w:r>
        <w:rPr/>
        <w:t>P12</w:t>
      </w:r>
      <w:r>
        <w:rPr/>
        <w:t>～</w:t>
      </w:r>
      <w:r>
        <w:rPr/>
        <w:t xml:space="preserve">P17 </w:t>
      </w:r>
      <w:r>
        <w:rPr/>
        <w:t>的主线不删。</w:t>
      </w:r>
    </w:p>
    <w:sectPr>
      <w:type w:val="nextPage"/>
      <w:pgSz w:w="11906" w:h="16838"/>
      <w:pgMar w:left="1134" w:right="1134" w:header="0" w:top="1191" w:footer="0" w:bottom="1134" w:gutter="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Microsoft YaHei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D3D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60"/>
      <w:jc w:val="center"/>
    </w:pPr>
    <w:rPr>
      <w:rFonts w:ascii="Liberation Sans Unicode MS" w:hAnsi="Liberation Sans Unicode MS"/>
      <w:b/>
      <w:bCs/>
      <w:color w:val="0B5CAD"/>
      <w:sz w:val="42"/>
      <w:szCs w:val="42"/>
    </w:rPr>
  </w:style>
  <w:style w:type="paragraph" w:styleId="Heading2">
    <w:name w:val="Heading 2"/>
    <w:basedOn w:val="Heading"/>
    <w:next w:val="TextBody"/>
    <w:qFormat/>
    <w:pPr>
      <w:pBdr>
        <w:bottom w:val="single" w:sz="9" w:space="4" w:color="1677D2"/>
      </w:pBdr>
      <w:spacing w:before="360" w:after="180"/>
      <w:ind w:left="360" w:right="360" w:hanging="0"/>
      <w:outlineLvl w:val="1"/>
    </w:pPr>
    <w:rPr>
      <w:rFonts w:ascii="Liberation Serif" w:hAnsi="Liberation Serif" w:eastAsia="Noto Serif CJK SC" w:cs="Lohit Devanagari"/>
      <w:b/>
      <w:bCs/>
      <w:color w:val="0B5CAD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240" w:after="120"/>
      <w:ind w:left="240" w:right="240" w:hanging="0"/>
      <w:outlineLvl w:val="2"/>
    </w:pPr>
    <w:rPr>
      <w:rFonts w:ascii="Liberation Serif" w:hAnsi="Liberation Serif" w:eastAsia="Noto Serif CJK SC" w:cs="Lohit Devanagari"/>
      <w:b/>
      <w:bCs/>
      <w:color w:val="1677D2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color w:val="0B5CAD"/>
    </w:rPr>
  </w:style>
  <w:style w:type="character" w:styleId="StrongEmphasis">
    <w:name w:val="Strong Emphasis"/>
    <w:qFormat/>
    <w:rPr>
      <w:b/>
      <w:bCs/>
      <w:color w:val="083C8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16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2slide">
    <w:name w:val="Heading 2.slide"/>
    <w:basedOn w:val="Heading2"/>
    <w:qFormat/>
    <w:pPr>
      <w:pageBreakBefore/>
      <w:pBdr>
        <w:bottom w:val="single" w:sz="16" w:space="4" w:color="00A6A6"/>
      </w:pBdr>
      <w:ind w:left="360" w:right="360" w:hanging="0"/>
      <w:outlineLvl w:val="9"/>
    </w:pPr>
    <w:rPr>
      <w:color w:val="083C82"/>
      <w:sz w:val="32"/>
      <w:szCs w:val="32"/>
    </w:rPr>
  </w:style>
  <w:style w:type="paragraph" w:styleId="TableHeading">
    <w:name w:val="Table Heading"/>
    <w:basedOn w:val="TableContents"/>
    <w:qFormat/>
    <w:pPr>
      <w:suppressLineNumbers/>
      <w:shd w:fill="0B5CAD" w:val="clear"/>
      <w:jc w:val="center"/>
    </w:pPr>
    <w:rPr>
      <w:b/>
      <w:bCs/>
      <w:color w:val="FFFFFF"/>
    </w:rPr>
  </w:style>
  <w:style w:type="paragraph" w:styleId="TextBodynote">
    <w:name w:val="Text Body.note"/>
    <w:basedOn w:val="TextBody"/>
    <w:qFormat/>
    <w:pPr>
      <w:pBdr>
        <w:left w:val="single" w:sz="32" w:space="9" w:color="00A6A6"/>
      </w:pBdr>
      <w:shd w:fill="EAF3FB" w:val="clear"/>
      <w:spacing w:before="160" w:after="160"/>
      <w:ind w:left="160" w:right="16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