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宋体"/>
          <w:b/>
          <w:sz w:val="36"/>
        </w:rPr>
        <w:t>《纳米材料》A 卷</w:t>
      </w:r>
    </w:p>
    <w:p>
      <w:pPr>
        <w:spacing w:before="0" w:after="160"/>
        <w:jc w:val="center"/>
      </w:pPr>
      <w:r>
        <w:rPr>
          <w:rFonts w:ascii="Times New Roman" w:hAnsi="Times New Roman" w:eastAsia="宋体"/>
          <w:b/>
          <w:sz w:val="36"/>
        </w:rPr>
        <w:t>参考答案与评分标准</w:t>
      </w:r>
    </w:p>
    <w:p>
      <w:pPr>
        <w:keepNext/>
        <w:spacing w:before="160" w:after="100"/>
      </w:pPr>
      <w:r>
        <w:rPr>
          <w:rFonts w:ascii="Times New Roman" w:hAnsi="Times New Roman" w:eastAsia="宋体"/>
          <w:b/>
          <w:sz w:val="28"/>
        </w:rPr>
        <w:t>命题结构与能力要求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3"/>
        <w:gridCol w:w="5043"/>
      </w:tblGrid>
      <w:tr>
        <w:tc>
          <w:tcPr>
            <w:tcW w:type="dxa" w:w="255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考试性质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大学本科专业课期末闭卷考试</w:t>
            </w:r>
          </w:p>
        </w:tc>
      </w:tr>
      <w:tr>
        <w:tc>
          <w:tcPr>
            <w:tcW w:type="dxa" w:w="255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总分/时间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 分 / 120 分钟</w:t>
            </w:r>
          </w:p>
        </w:tc>
      </w:tr>
      <w:tr>
        <w:tc>
          <w:tcPr>
            <w:tcW w:type="dxa" w:w="255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题型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 道单选题、10 道判断题、6 道真实论文表征图分析大题</w:t>
            </w:r>
          </w:p>
        </w:tc>
      </w:tr>
      <w:tr>
        <w:tc>
          <w:tcPr>
            <w:tcW w:type="dxa" w:w="255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分值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单选 20 分；判断 10 分；表征图分析 70 分</w:t>
            </w:r>
          </w:p>
        </w:tc>
      </w:tr>
      <w:tr>
        <w:tc>
          <w:tcPr>
            <w:tcW w:type="dxa" w:w="255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基础覆盖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纳米材料定义、基本效应、制备路径、XRD、SEM、TEM、SAED、EDS、XPS、FT-IR、Raman、UV-Vis DRS、BET/BJH</w:t>
            </w:r>
          </w:p>
        </w:tc>
      </w:tr>
      <w:tr>
        <w:tc>
          <w:tcPr>
            <w:tcW w:type="dxa" w:w="255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能力层级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识记理解约 30%；表征方法应用约 35%；综合读图、证据链构建与方法局限评价约 35%</w:t>
            </w:r>
          </w:p>
        </w:tc>
      </w:tr>
      <w:tr>
        <w:tc>
          <w:tcPr>
            <w:tcW w:type="dxa" w:w="2551"/>
            <w:vAlign w:val="center"/>
            <w:shd w:fill="EDEDED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评分原则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大题按读图依据、表征原理、材料结论和局限意识分项给分；只写结论而无图谱依据者不得给满分。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宋体"/>
          <w:b/>
          <w:sz w:val="28"/>
        </w:rPr>
        <w:t>一、单项选择题答案（20 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题号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答案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</w:t>
            </w:r>
          </w:p>
        </w:tc>
      </w:tr>
    </w:tbl>
    <w:p>
      <w:pPr>
        <w:spacing w:before="0" w:after="100"/>
      </w:pPr>
      <w:r>
        <w:rPr>
          <w:rFonts w:ascii="Times New Roman" w:hAnsi="Times New Roman" w:eastAsia="宋体"/>
          <w:b w:val="0"/>
          <w:sz w:val="20"/>
        </w:rPr>
        <w:t>评分：每题 2 分，共 20 分。错选、多选、不选或判断符号错误均不得分。</w:t>
      </w:r>
    </w:p>
    <w:p>
      <w:pPr>
        <w:keepNext/>
        <w:spacing w:before="160" w:after="100"/>
      </w:pPr>
      <w:r>
        <w:rPr>
          <w:rFonts w:ascii="Times New Roman" w:hAnsi="Times New Roman" w:eastAsia="宋体"/>
          <w:b/>
          <w:sz w:val="28"/>
        </w:rPr>
        <w:t>二、判断题答案（10 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题号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答案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×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√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√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×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√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√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×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√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×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×</w:t>
            </w:r>
          </w:p>
        </w:tc>
      </w:tr>
    </w:tbl>
    <w:p>
      <w:pPr>
        <w:spacing w:before="0" w:after="100"/>
      </w:pPr>
      <w:r>
        <w:rPr>
          <w:rFonts w:ascii="Times New Roman" w:hAnsi="Times New Roman" w:eastAsia="宋体"/>
          <w:b w:val="0"/>
          <w:sz w:val="20"/>
        </w:rPr>
        <w:t>评分：每题 1 分，共 10 分。错选、多选、不选或判断符号错误均不得分。</w:t>
      </w:r>
    </w:p>
    <w:p>
      <w:pPr>
        <w:keepNext/>
        <w:spacing w:before="160" w:after="100"/>
      </w:pPr>
      <w:r>
        <w:rPr>
          <w:rFonts w:ascii="Times New Roman" w:hAnsi="Times New Roman" w:eastAsia="宋体"/>
          <w:b/>
          <w:sz w:val="28"/>
        </w:rPr>
        <w:t>三、表征图分析大题参考答案与评分细则（70 分）</w:t>
      </w:r>
    </w:p>
    <w:p>
      <w:pPr>
        <w:spacing w:before="0" w:after="100"/>
      </w:pPr>
      <w:r>
        <w:rPr>
          <w:rFonts w:ascii="Times New Roman" w:hAnsi="Times New Roman" w:eastAsia="宋体"/>
          <w:b w:val="0"/>
          <w:sz w:val="20"/>
        </w:rPr>
        <w:t>通用扣分规则：没有结合图中峰位、峰强、半峰宽、形貌、元素分布、结合能、孔结构等具体信息，只泛泛叙述表征方法原理者，每题最高不超过该题 60%；出现明显概念错误，如把 XPS 当成体相物相分析、把 SEM 当成内部晶格分析，应按错误程度扣分。</w:t>
      </w:r>
    </w:p>
    <w:p>
      <w:pPr>
        <w:spacing w:before="0" w:after="40"/>
      </w:pPr>
      <w:r>
        <w:rPr>
          <w:rFonts w:ascii="Times New Roman" w:hAnsi="Times New Roman" w:eastAsia="宋体"/>
          <w:b/>
          <w:sz w:val="22"/>
        </w:rPr>
        <w:t>1. 图 1 为 PC-TiO2-d/Cu-TCPP 多孔笼材料的 XRD、SEM、EDS mapping 和 TEM 图。请分析该图能读出哪些结构、形貌和元素分布信息。（12 分）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XRD：能根据 2θ 位置和晶面指数识别 TiO2 相关主晶相；峰较尖锐说明具有一定结晶性；峰宽可用于晶粒尺寸趋势分析；是否有少量杂相需与标准卡片比对（3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SEM/TEM：能描述多孔笼/近球形聚集体、表面粗糙、由纳米颗粒或骨架构成；TEM 显示内部透射衬度和孔隙/颗粒堆积特征，尺度由标尺估算（3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EDS mapping：Ti 分布覆盖主体，Cu 信号分散存在，支持 Cu-TCPP 被引入并分布在多孔笼中；需说明 EDS 是局域、半定量证据，不能单独证明价态或化学键（2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综合证据链与局限：XRD-晶相，SEM/TEM-形貌，EDS-元素分布；仍需 XPS/FTIR/Raman/BET、多视场粒径统计和重复样品验证（4 分）。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0" w:after="40"/>
      </w:pPr>
      <w:r>
        <w:rPr>
          <w:rFonts w:ascii="Times New Roman" w:hAnsi="Times New Roman" w:eastAsia="宋体"/>
          <w:b/>
          <w:sz w:val="22"/>
        </w:rPr>
        <w:t>2. 图 2 为 PC-TiO2-d/Cu-TCPP 多孔笼材料的高分辨 XPS 图。请分析表面元素组成、化学态和界面相互作用证据。（12 分）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Ti 2p：能识别 Ti 2p3/2 和 Ti 2p1/2 双峰，说明表面存在 Ti 物种；峰位变化可提示 Ti 化学环境变化（2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O 1s：能区分晶格氧、C-O/表面羟基/缺陷氧等分峰；分峰说明表面氧环境不唯一（2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Cu 2p 与 N 1s：Cu 2p 主峰及卫星峰支持 Cu(II) 物种；N 1s 反映卟啉环中不同 N 环境，说明含 N 有机配体存在（3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证据链：Ti/O 来自 TiO2 骨架，Cu/N 来自 Cu-TCPP，峰位/分峰变化说明界面化学环境改变；XPS 与 XRD、SEM/TEM、EDS 互补证明复合（3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局限：XPS 仅反映表面数纳米，定量需灵敏度因子校正，峰重叠、充电效应、背景扣除和拟合模型会影响结论（2 分）。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0" w:after="40"/>
      </w:pPr>
      <w:r>
        <w:rPr>
          <w:rFonts w:ascii="Times New Roman" w:hAnsi="Times New Roman" w:eastAsia="宋体"/>
          <w:b/>
          <w:sz w:val="22"/>
        </w:rPr>
        <w:t>3. 图 3 为 TiO2、TC 50 和 TCC 8 的 XRD 与 FT-IR 图。请分析复合材料的晶相和官能团/键合信息。（12 分）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XRD：TiO2 出现 anatase 特征峰；TC 50 中新增 CuO 相关峰；TCC 8 中部分峰强下降或宽化可说明壳聚糖修饰、晶格扰动或结晶性变化（4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FT-IR：500-900 cm-1 区域可归属 Ti-O/Ti-O-Ti 或 Cu-O；1383 cm-1 附近可联系 Cu-O-Ti；1620 cm-1 左右 M-OH/H-O-H，3200-3550 cm-1 宽峰为 -OH；有机峰增强支持 CS 引入（4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方法互补：XRD 证明晶体物相，FT-IR 证明官能团和界面键合/相互作用；二者结合比单一图谱更可靠（2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局限：CS 低含量或非晶态可能在 XRD 中不显示明显峰；FT-IR 峰重叠较多，不能单独给出精确价态或空间分布（2 分）。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0" w:after="40"/>
      </w:pPr>
      <w:r>
        <w:rPr>
          <w:rFonts w:ascii="Times New Roman" w:hAnsi="Times New Roman" w:eastAsia="宋体"/>
          <w:b/>
          <w:sz w:val="22"/>
        </w:rPr>
        <w:t>4. 图 4 为 TiO2、TC 50 和 TCC 8 的 UV-Vis DRS、Tauc 图与 Raman 图。请分析光学吸收、带隙和晶格/缺陷信息。（12 分）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DRS：复合后在紫外-可见区吸收增强，吸收边/可见光响应发生变化，说明 CuO 和 CS 引入改变光吸收行为（3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Tauc：能读出 TiO2、TC 50、TCC 8 带隙呈减小或调控趋势；带隙变窄有助于更宽光谱响应和光生载流子产生（3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Raman：TiO2 anatase 的 Eg、B1g、A1g 等峰用于确认相结构；峰位移动、强度下降或半峰宽变化提示晶格畸变、缺陷或界面相互作用（3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性能关联与局限：可合理联系 ROS 生成、光催化和微生物失活，但最终必须由抗菌圈/菌落计数、ROS、稳定性、细胞毒性和重复性实验验证（3 分）。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0" w:after="40"/>
      </w:pPr>
      <w:r>
        <w:rPr>
          <w:rFonts w:ascii="Times New Roman" w:hAnsi="Times New Roman" w:eastAsia="宋体"/>
          <w:b/>
          <w:sz w:val="22"/>
        </w:rPr>
        <w:t>5. 图 5 为 TCC 8 复合材料的 EDS、TEM、SAED 和元素 mapping 图。请分析组成、形貌、晶体结构和元素分布。（12 分）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EDS：出现 Ti、Cu、O、C 等信号，支持 TiO2、CuO 和壳聚糖组分共存；但 EDS 难测 H/He，对轻元素和价态不敏感，受基底、厚度和局域采样影响（3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TEM：可读出不规则颗粒/团簇形貌，纳米级颗粒相互复合，局部尺寸约十几纳米量级；需说明应做粒径统计而非只看单一区域（3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SAED：出现衍射环或由许多斑点组成的环，说明多晶纳米颗粒；若为单晶应为规则斑点，非晶则为弥散晕环（3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Mapping：C、Ti、Cu、O 在颗粒区域均有分布，支持 CS、TiO2、CuO 之间空间复合；但 mapping 不能单独证明化学键，需要 XPS/FTIR/Raman 补充（3 分）。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0" w:after="40"/>
      </w:pPr>
      <w:r>
        <w:rPr>
          <w:rFonts w:ascii="Times New Roman" w:hAnsi="Times New Roman" w:eastAsia="宋体"/>
          <w:b/>
          <w:sz w:val="22"/>
        </w:rPr>
        <w:t>6. 图 6 为 TiO2、TC 50 和 TCC 8 的 N2 吸附-脱附等温线与 BJH 孔径分布。请分析比表面积、孔结构及其对性能的意义。（10 分）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等温线与孔结构：能指出吸附-脱附支路和滞后环提示介孔/多孔结构，BJH 图用于判断孔径分布（2.5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趋势分析：TCC 8 的吸附量和比表面积相对提高，孔径分布发生调整；这说明复合/壳聚糖修饰改变了孔结构（2.5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性能意义：较高比表面积和合适孔道可增加活性位点、促进污染物/微生物接触和传质，有利于光催化或抗菌过程（2.5 分）。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19"/>
        </w:rPr>
        <w:t>· 局限：BET/BJH 依赖脱气条件、模型和孔道开放性，不能直接证明化学态、杀菌机理或长期稳定性；需结合 XRD、TEM、XPS、性能实验（2.5 分）。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</w:r>
    </w:p>
    <w:p>
      <w:pPr>
        <w:keepNext/>
        <w:spacing w:before="160" w:after="100"/>
      </w:pPr>
      <w:r>
        <w:rPr>
          <w:rFonts w:ascii="Times New Roman" w:hAnsi="Times New Roman" w:eastAsia="宋体"/>
          <w:b/>
          <w:sz w:val="28"/>
        </w:rPr>
        <w:t>图源与依据说明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19"/>
        </w:rPr>
        <w:t>图 1-2：H. Lu et al., Metalloporphyrin modified defective TiO2 porous cages with the enhanced photocatalytic activity for coupling of hydrogen generation and tetracycline removal, RSC Advances, 2023, 13, 8822-8829, DOI: 10.1039/D3RA00105A。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9"/>
        </w:rPr>
        <w:t>图 3-6：V. S. Ghodake et al., Assessment of antimicrobial efficacy of leather coating using chitosan modified TiO2-CuO nanocomposites, RSC Advances, 2025, 15, 2591-2601, DOI: 10.1039/D4RA06892K。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7"/>
      </w:rPr>
      <w:t>图谱分析题须写出“读图依据 + 合理结论 + 局限或补充验证”。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《纳米材料》本科专业课期末考试 A 卷 - 参考答案与评分标准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