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32"/>
          <w:szCs w:val="32"/>
        </w:rPr>
        <w:t xml:space="preserve">Fund Categories by Asset Class</w:t>
      </w:r>
    </w:p>
    <w:p>
      <w:pPr>
        <w:spacing w:after="240"/>
      </w:pPr>
      <w:r>
        <w:rPr>
          <w:sz w:val="24"/>
          <w:szCs w:val="24"/>
        </w:rPr>
        <w:t xml:space="preserve">Below shows which fund categories belong to each asset class: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US Equity Large Cap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Large 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Large Blend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Equity-Income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Growth and Income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Conservative Allocation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US Equity Small Cap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Small 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Small Blend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Small Growth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Small Company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US Equity Mid Cap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Mid-Cap 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Mid-Cap Blend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Mid-Cap Growth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Non-US Equity Large Cap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Foreign Stock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Europe Stock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Pacific Stock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Japan Stock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Latin America Stock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China Region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Diversified Pacific/Asia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Foreign Large Blend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Foreign Large Growth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Foreign Large 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India Equity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Global Conservative Allocation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Non-US Equity Emerging Markets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Diversified Emerging Markets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Emerging-Markets Local-Currency Bond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Real Estate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Real Estate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Global Real Estate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Short-term Fixed Income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Corporate Bond - High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Government Bond - General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Government Bond - Treasury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Worldwide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Short-Term Inflation-Protected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Short-Term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Ultrashort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Short Government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Other Fixed Income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Money Market-Tax-Free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Emerging Markets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Money Market-Taxable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Global Bond - USD Hedged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Global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High Yield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Inflation-Protected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Long-Term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Intermediate Core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Intermediate Core-Plus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Government Mortgage-Backed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Multisector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Nontraditional Bond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Prime Money 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Securitized Bond - Focused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Securitized Bond - Diversified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2000-2010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2030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2035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2040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2045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2050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2055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2060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Target-Date 2065+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Intermediate Government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Miscellaneous Fixed Income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2026-06-17T19:50:18.553Z</dcterms:created>
  <dcterms:modified xsi:type="dcterms:W3CDTF">2026-06-17T19:50:18.554Z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