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2.png" ContentType="image/png"/>
  <Override PartName="/word/media/rId39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алгоритмы целочисленной арифметики многократной точности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алгоритм сложения неотрицательных чисел</w:t>
      </w:r>
    </w:p>
    <w:p>
      <w:pPr>
        <w:numPr>
          <w:ilvl w:val="0"/>
          <w:numId w:val="1001"/>
        </w:numPr>
      </w:pPr>
      <w:r>
        <w:t xml:space="preserve">Реализовать алгоритм вычитания неотрицательных чисел</w:t>
      </w:r>
    </w:p>
    <w:p>
      <w:pPr>
        <w:numPr>
          <w:ilvl w:val="0"/>
          <w:numId w:val="1001"/>
        </w:numPr>
      </w:pPr>
      <w:r>
        <w:t xml:space="preserve">Реализовать алгоритм умножения неотрицательных чисел</w:t>
      </w:r>
    </w:p>
    <w:p>
      <w:pPr>
        <w:numPr>
          <w:ilvl w:val="0"/>
          <w:numId w:val="1001"/>
        </w:numPr>
      </w:pPr>
      <w:r>
        <w:t xml:space="preserve">Реализовать алгоритм</w:t>
      </w:r>
      <w:r>
        <w:t xml:space="preserve"> </w:t>
      </w:r>
      <w:r>
        <w:t xml:space="preserve">“</w:t>
      </w:r>
      <w:r>
        <w:t xml:space="preserve">быстрый столбик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Реализовать алгоритм деления многоразрядных целых чисел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Алгоритм сложения неотрицательных чисел заключается в пошаговом суммировании цифр чисел, начиная с младших разрядов и перенося разряды при необходимости. Этот алгоритм позволяет эффективно выполнять операцию сложения.</w:t>
      </w:r>
    </w:p>
    <w:p>
      <w:pPr>
        <w:numPr>
          <w:ilvl w:val="0"/>
          <w:numId w:val="1002"/>
        </w:numPr>
      </w:pPr>
      <w:r>
        <w:t xml:space="preserve">Алгоритм вычитания неотрицательных чисел включает поэтапное вычитание цифр чисел, начиная с младших разрядов и заемом разрядов, если необходимо. Он обеспечивает эффективное выполнение операции вычитания.</w:t>
      </w:r>
    </w:p>
    <w:p>
      <w:pPr>
        <w:numPr>
          <w:ilvl w:val="0"/>
          <w:numId w:val="1002"/>
        </w:numPr>
      </w:pPr>
      <w:r>
        <w:t xml:space="preserve">Алгоритм умножения неотрицательных чисел базируется на методе пошагового умножения цифр чисел и последующем сложении результатов. Он предоставляет эффективный способ выполнения операции умножения.</w:t>
      </w:r>
    </w:p>
    <w:p>
      <w:pPr>
        <w:numPr>
          <w:ilvl w:val="0"/>
          <w:numId w:val="1002"/>
        </w:numPr>
      </w:pPr>
      <w:r>
        <w:t xml:space="preserve">Алгоритм</w:t>
      </w:r>
      <w:r>
        <w:t xml:space="preserve"> </w:t>
      </w:r>
      <w:r>
        <w:t xml:space="preserve">“</w:t>
      </w:r>
      <w:r>
        <w:t xml:space="preserve">быстрый столбик</w:t>
      </w:r>
      <w:r>
        <w:t xml:space="preserve">”</w:t>
      </w:r>
      <w:r>
        <w:t xml:space="preserve"> </w:t>
      </w:r>
      <w:r>
        <w:t xml:space="preserve">представляет собой метод многоразрядного умножения чисел с использованием оптимизаций. Этот алгоритм значительно ускоряет выполнение операции умножения.</w:t>
      </w:r>
    </w:p>
    <w:p>
      <w:pPr>
        <w:numPr>
          <w:ilvl w:val="0"/>
          <w:numId w:val="1002"/>
        </w:numPr>
      </w:pPr>
      <w:r>
        <w:t xml:space="preserve">Алгоритм деления многоразрядных целых чисел основывается на методе пошагового нахождения частного и остатка при делении чисел. Он позволяет эффективно и точно выполнять операцию деления.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алгоритм-сложения-неотрицательных-чисел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 сложения неотрицательных чисел</w:t>
      </w:r>
    </w:p>
    <w:p>
      <w:pPr>
        <w:pStyle w:val="FirstParagraph"/>
      </w:pPr>
      <w:r>
        <w:t xml:space="preserve">Я реализовал функцию алгоритма сложения неотрицательных чисел. Она принимает два массива цифр u и v, их длину n и основание системы счисления b, складывает числа, представленные массивами u и v, с учетом переносов и возвращает результат в виде нового массива цифр w. (рис. 1).</w:t>
      </w:r>
    </w:p>
    <w:p>
      <w:pPr>
        <w:pStyle w:val="CaptionedFigure"/>
      </w:pPr>
      <w:r>
        <w:drawing>
          <wp:inline>
            <wp:extent cx="2858703" cy="1992429"/>
            <wp:effectExtent b="0" l="0" r="0" t="0"/>
            <wp:docPr descr="Алгоритм сложения неотрицательных чисел" title="" id="24" name="Picture"/>
            <a:graphic>
              <a:graphicData uri="http://schemas.openxmlformats.org/drawingml/2006/picture">
                <pic:pic>
                  <pic:nvPicPr>
                    <pic:cNvPr descr="./images/alg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199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Алгоритм сложения неотрицательных чисел</w:t>
      </w:r>
    </w:p>
    <w:bookmarkEnd w:id="26"/>
    <w:bookmarkStart w:id="30" w:name="алгоритм-вычитания-неотрицательных-чисел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Алгоритм вычитания неотрицательных чисел</w:t>
      </w:r>
    </w:p>
    <w:p>
      <w:pPr>
        <w:pStyle w:val="FirstParagraph"/>
      </w:pPr>
      <w:r>
        <w:t xml:space="preserve">Я реализовал функцию алгоритма вычитания неотрицательных чисел, принцип которого схож с алгоритмом сложения - она также принимает два массива цифр u и v, их длину n и основание системы счисления b. Она вычитает число, представленное массивом v, из числа, представленного массивом u, с учетом переносов и возвращает результат в виде нового массива цифр w (рис. 2).</w:t>
      </w:r>
    </w:p>
    <w:p>
      <w:pPr>
        <w:pStyle w:val="CaptionedFigure"/>
      </w:pPr>
      <w:r>
        <w:drawing>
          <wp:inline>
            <wp:extent cx="2868328" cy="2030930"/>
            <wp:effectExtent b="0" l="0" r="0" t="0"/>
            <wp:docPr descr="Алгоритм вычитания неотрицательных чисел" title="" id="28" name="Picture"/>
            <a:graphic>
              <a:graphicData uri="http://schemas.openxmlformats.org/drawingml/2006/picture">
                <pic:pic>
                  <pic:nvPicPr>
                    <pic:cNvPr descr="./images/alg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Алгоритм вычитания неотрицательных чисел</w:t>
      </w:r>
    </w:p>
    <w:bookmarkEnd w:id="30"/>
    <w:bookmarkStart w:id="34" w:name="алгоритм-умножения-неотрицательных-чисел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Алгоритм умножения неотрицательных чисел</w:t>
      </w:r>
    </w:p>
    <w:p>
      <w:pPr>
        <w:pStyle w:val="FirstParagraph"/>
      </w:pPr>
      <w:r>
        <w:t xml:space="preserve">Далее я реализовал функцию умножения неотрицательных чисел реализует умножение u и v с основанием системы счисления b. В циклах происходит умножение коэффициентов, вычисление остатка от деления и переноса, а также добавление переноса к более старшему разряду. После умножения удаляются ведущие нули и возвращается результат(рис. 3).</w:t>
      </w:r>
    </w:p>
    <w:p>
      <w:pPr>
        <w:pStyle w:val="CaptionedFigure"/>
      </w:pPr>
      <w:r>
        <w:drawing>
          <wp:inline>
            <wp:extent cx="3089709" cy="3744227"/>
            <wp:effectExtent b="0" l="0" r="0" t="0"/>
            <wp:docPr descr="Алгоритм умножения неотрицательных чисел" title="" id="32" name="Picture"/>
            <a:graphic>
              <a:graphicData uri="http://schemas.openxmlformats.org/drawingml/2006/picture">
                <pic:pic>
                  <pic:nvPicPr>
                    <pic:cNvPr descr="./images/alg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Алгоритм умножения неотрицательных чисел</w:t>
      </w:r>
    </w:p>
    <w:bookmarkEnd w:id="34"/>
    <w:bookmarkStart w:id="38" w:name="алгоритм-быстрый-столбик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Алгоритм</w:t>
      </w:r>
      <w:r>
        <w:t xml:space="preserve"> </w:t>
      </w:r>
      <w:r>
        <w:t xml:space="preserve">“</w:t>
      </w:r>
      <w:r>
        <w:t xml:space="preserve">быстрый столбик</w:t>
      </w:r>
      <w:r>
        <w:t xml:space="preserve">”</w:t>
      </w:r>
    </w:p>
    <w:p>
      <w:pPr>
        <w:pStyle w:val="FirstParagraph"/>
      </w:pPr>
      <w:r>
        <w:t xml:space="preserve">Реализованная мной функция алгоритма</w:t>
      </w:r>
      <w:r>
        <w:t xml:space="preserve"> </w:t>
      </w:r>
      <w:r>
        <w:t xml:space="preserve">“</w:t>
      </w:r>
      <w:r>
        <w:t xml:space="preserve">быстрый столбик</w:t>
      </w:r>
      <w:r>
        <w:t xml:space="preserve">”</w:t>
      </w:r>
      <w:r>
        <w:t xml:space="preserve"> </w:t>
      </w:r>
      <w:r>
        <w:t xml:space="preserve">также умножает u и v с основанием системы счисления b, но использует более оптимизированный подход. Она выполняет те же операции, но использует вложенные циклы для суммирования произведений коэффициентов во время умножения. Результат также корректируется и возвращается после удаления ведущих нулей (рис. 4).</w:t>
      </w:r>
    </w:p>
    <w:p>
      <w:pPr>
        <w:pStyle w:val="CaptionedFigure"/>
      </w:pPr>
      <w:r>
        <w:drawing>
          <wp:inline>
            <wp:extent cx="3763477" cy="3859730"/>
            <wp:effectExtent b="0" l="0" r="0" t="0"/>
            <wp:docPr descr="Алгоритм “быстрый столбик”" title="" id="36" name="Picture"/>
            <a:graphic>
              <a:graphicData uri="http://schemas.openxmlformats.org/drawingml/2006/picture">
                <pic:pic>
                  <pic:nvPicPr>
                    <pic:cNvPr descr="./images/alg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Алгоритм</w:t>
      </w:r>
      <w:r>
        <w:t xml:space="preserve"> </w:t>
      </w:r>
      <w:r>
        <w:t xml:space="preserve">“</w:t>
      </w:r>
      <w:r>
        <w:t xml:space="preserve">быстрый столбик</w:t>
      </w:r>
      <w:r>
        <w:t xml:space="preserve">”</w:t>
      </w:r>
    </w:p>
    <w:bookmarkEnd w:id="38"/>
    <w:bookmarkStart w:id="45" w:name="X7a9c4826ec50e2800bea7ea5bb8bca8a39ca902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Алгоритм деления многоразрядных целых чисел</w:t>
      </w:r>
    </w:p>
    <w:p>
      <w:pPr>
        <w:pStyle w:val="FirstParagraph"/>
      </w:pPr>
      <w:r>
        <w:t xml:space="preserve">Сама мною реализованная функция деления многоразрядных целых чисел принимает три параметра: два массива чисел u и v и число b. Внутри функции vec_convert используется для конвертации массивов чисел u и v в целочисленные значения. Затем в функции alg_div происходит деление u на v в b-ичной системе счисления. Деление выполняется сначала с помощью оператора ÷, затем находится остаток от деления с помощью оператора %. Далее результат деления d раскладывается на цифры и сохраняется в массив r1, а затем выполняются b итераций, при которых остаток m умножается на 10, далее находится целая часть от деления и добавляется в массив r2. В конце функция возвращает массивы r1 и r2 (рис. 5).</w:t>
      </w:r>
    </w:p>
    <w:p>
      <w:pPr>
        <w:pStyle w:val="CaptionedFigure"/>
      </w:pPr>
      <w:r>
        <w:drawing>
          <wp:inline>
            <wp:extent cx="2069431" cy="3686475"/>
            <wp:effectExtent b="0" l="0" r="0" t="0"/>
            <wp:docPr descr="Алгоритм деления многоразрядных целых чисел" title="" id="40" name="Picture"/>
            <a:graphic>
              <a:graphicData uri="http://schemas.openxmlformats.org/drawingml/2006/picture">
                <pic:pic>
                  <pic:nvPicPr>
                    <pic:cNvPr descr="./images/alg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1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Алгоритм деления многоразрядных целых чисел</w:t>
      </w:r>
    </w:p>
    <w:p>
      <w:pPr>
        <w:pStyle w:val="BodyText"/>
      </w:pPr>
      <w:r>
        <w:t xml:space="preserve">Также Для данного алгоритма была реализована функция конвертации массива в переменную типа BigInt (рис. 6).</w:t>
      </w:r>
    </w:p>
    <w:p>
      <w:pPr>
        <w:pStyle w:val="CaptionedFigure"/>
      </w:pPr>
      <w:r>
        <w:drawing>
          <wp:inline>
            <wp:extent cx="2040555" cy="1520791"/>
            <wp:effectExtent b="0" l="0" r="0" t="0"/>
            <wp:docPr descr="Функция конвертации массивов" title="" id="43" name="Picture"/>
            <a:graphic>
              <a:graphicData uri="http://schemas.openxmlformats.org/drawingml/2006/picture">
                <pic:pic>
                  <pic:nvPicPr>
                    <pic:cNvPr descr="./images/alg_5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55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Функция конвертации массивов</w:t>
      </w:r>
    </w:p>
    <w:bookmarkEnd w:id="45"/>
    <w:bookmarkStart w:id="52" w:name="инициализация-переменных-и-вызов-функции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Инициализация переменных и вызов функции</w:t>
      </w:r>
    </w:p>
    <w:p>
      <w:pPr>
        <w:pStyle w:val="FirstParagraph"/>
      </w:pPr>
      <w:r>
        <w:t xml:space="preserve">Далее я инициализировал переменные, которые будут входными параметрами вызванных далее функций (рис. 7).</w:t>
      </w:r>
    </w:p>
    <w:p>
      <w:pPr>
        <w:pStyle w:val="CaptionedFigure"/>
      </w:pPr>
      <w:r>
        <w:drawing>
          <wp:inline>
            <wp:extent cx="2502568" cy="1934677"/>
            <wp:effectExtent b="0" l="0" r="0" t="0"/>
            <wp:docPr descr="Инициализация переменных и вызов функции" title="" id="47" name="Picture"/>
            <a:graphic>
              <a:graphicData uri="http://schemas.openxmlformats.org/drawingml/2006/picture">
                <pic:pic>
                  <pic:nvPicPr>
                    <pic:cNvPr descr="./images/alg_ini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Инициализация переменных и вызов функции</w:t>
      </w:r>
    </w:p>
    <w:p>
      <w:pPr>
        <w:pStyle w:val="BodyText"/>
      </w:pPr>
      <w:r>
        <w:t xml:space="preserve">И получил следующей результат (рис. 8).</w:t>
      </w:r>
    </w:p>
    <w:p>
      <w:pPr>
        <w:pStyle w:val="CaptionedFigure"/>
      </w:pPr>
      <w:r>
        <w:drawing>
          <wp:inline>
            <wp:extent cx="2906829" cy="1068404"/>
            <wp:effectExtent b="0" l="0" r="0" t="0"/>
            <wp:docPr descr="Результат выполнения кода" title="" id="50" name="Picture"/>
            <a:graphic>
              <a:graphicData uri="http://schemas.openxmlformats.org/drawingml/2006/picture">
                <pic:pic>
                  <pic:nvPicPr>
                    <pic:cNvPr descr="./images/alg_res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кода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алгоритмы целочисленной арифметики многократной точности</w:t>
      </w:r>
    </w:p>
    <w:bookmarkEnd w:id="54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55">
        <w:r>
          <w:rPr>
            <w:rStyle w:val="Hyperlink"/>
          </w:rPr>
          <w:t xml:space="preserve">Julia - Control Flow</w:t>
        </w:r>
      </w:hyperlink>
    </w:p>
    <w:p>
      <w:pPr>
        <w:numPr>
          <w:ilvl w:val="0"/>
          <w:numId w:val="1003"/>
        </w:numPr>
        <w:pStyle w:val="Compact"/>
      </w:pPr>
      <w:hyperlink r:id="rId56">
        <w:r>
          <w:rPr>
            <w:rStyle w:val="Hyperlink"/>
          </w:rPr>
          <w:t xml:space="preserve">Julia - Mathematical Operations</w:t>
        </w:r>
      </w:hyperlink>
    </w:p>
    <w:p>
      <w:pPr>
        <w:numPr>
          <w:ilvl w:val="0"/>
          <w:numId w:val="1003"/>
        </w:numPr>
        <w:pStyle w:val="Compact"/>
      </w:pPr>
      <w:hyperlink r:id="rId57">
        <w:r>
          <w:rPr>
            <w:rStyle w:val="Hyperlink"/>
          </w:rPr>
          <w:t xml:space="preserve">Alfred J. Menezes, Paul C. van Oorschot and Scott A. Vanstone - Handbook of Applied Cryptography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57" Target="https://cacr.uwaterloo.ca/hac/" TargetMode="External" /><Relationship Type="http://schemas.openxmlformats.org/officeDocument/2006/relationships/hyperlink" Id="rId55" Target="https://docs.julialang.org/en/v1/manual/control-flow/" TargetMode="External" /><Relationship Type="http://schemas.openxmlformats.org/officeDocument/2006/relationships/hyperlink" Id="rId56" Target="https://docs.julialang.org/en/v1/manual/mathematical-opera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cacr.uwaterloo.ca/hac/" TargetMode="External" /><Relationship Type="http://schemas.openxmlformats.org/officeDocument/2006/relationships/hyperlink" Id="rId55" Target="https://docs.julialang.org/en/v1/manual/control-flow/" TargetMode="External" /><Relationship Type="http://schemas.openxmlformats.org/officeDocument/2006/relationships/hyperlink" Id="rId56" Target="https://docs.julialang.org/en/v1/manual/mathematical-opera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работа № 8</dc:title>
  <dc:creator>Покрас Илья Михайлович</dc:creator>
  <dc:language>ru-RU</dc:language>
  <cp:keywords/>
  <dcterms:created xsi:type="dcterms:W3CDTF">2024-11-06T16:42:41Z</dcterms:created>
  <dcterms:modified xsi:type="dcterms:W3CDTF">2024-11-06T16:42:41Z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Целочисленная арифметика многократной точности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