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2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гармонический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Целью данной лабораторной работы является построение математической модели гармонический колебаний.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Построим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cил: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t>t</m:t>
            </m:r>
          </m:e>
        </m:d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введение: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γ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bookmarkEnd w:id="22"/>
    <w:bookmarkStart w:id="8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6" w:name="код-на-julia"/>
    <w:p>
      <w:pPr>
        <w:pStyle w:val="Heading2"/>
      </w:pPr>
      <w:r>
        <w:t xml:space="preserve">Код на Julia:</w:t>
      </w:r>
    </w:p>
    <w:p>
      <w:pPr>
        <w:pStyle w:val="FirstParagraph"/>
      </w:pPr>
      <w:r>
        <w:t xml:space="preserve">Инициализируем библиотеки для дальнейшей дальнейшей работы. Далее</w:t>
      </w:r>
      <w:r>
        <w:t xml:space="preserve"> </w:t>
      </w:r>
      <w:r>
        <w:t xml:space="preserve">создадим переменные для начальных X и Y и опишем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для 3 случаев (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2705100" cy="2641600"/>
            <wp:effectExtent b="0" l="0" r="0" t="0"/>
            <wp:docPr descr="Переменные и библиотеки" title="" id="24" name="Picture"/>
            <a:graphic>
              <a:graphicData uri="http://schemas.openxmlformats.org/drawingml/2006/picture">
                <pic:pic>
                  <pic:nvPicPr>
                    <pic:cNvPr descr="./image/code-va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Переменные и библиотеки</w:t>
      </w:r>
    </w:p>
    <w:p>
      <w:pPr>
        <w:pStyle w:val="BodyText"/>
      </w:pPr>
      <w:r>
        <w:t xml:space="preserve">Создаим с помощью Differential Equations системы уравнений для 3 случаев(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4356100" cy="3416300"/>
            <wp:effectExtent b="0" l="0" r="0" t="0"/>
            <wp:docPr descr="ОДУ" title="" id="27" name="Picture"/>
            <a:graphic>
              <a:graphicData uri="http://schemas.openxmlformats.org/drawingml/2006/picture">
                <pic:pic>
                  <pic:nvPicPr>
                    <pic:cNvPr descr="./image/code-ode-f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ОДУ</w:t>
      </w:r>
    </w:p>
    <w:p>
      <w:pPr>
        <w:pStyle w:val="BodyText"/>
      </w:pPr>
      <w:r>
        <w:t xml:space="preserve">С помощью solve получим решения ОДУ для всех случаев(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4445000" cy="1752600"/>
            <wp:effectExtent b="0" l="0" r="0" t="0"/>
            <wp:docPr descr="Решение ОДУ" title="" id="30" name="Picture"/>
            <a:graphic>
              <a:graphicData uri="http://schemas.openxmlformats.org/drawingml/2006/picture">
                <pic:pic>
                  <pic:nvPicPr>
                    <pic:cNvPr descr="./image/code-ode-solv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ОДУ</w:t>
      </w:r>
    </w:p>
    <w:p>
      <w:pPr>
        <w:pStyle w:val="BodyText"/>
      </w:pPr>
      <w:r>
        <w:t xml:space="preserve">Сохраним данные решений в отдельные вектора для каждого случая (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2794000" cy="1765300"/>
            <wp:effectExtent b="0" l="0" r="0" t="0"/>
            <wp:docPr descr="Копирование данных через for" title="" id="33" name="Picture"/>
            <a:graphic>
              <a:graphicData uri="http://schemas.openxmlformats.org/drawingml/2006/picture">
                <pic:pic>
                  <pic:nvPicPr>
                    <pic:cNvPr descr="./image/code-resul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данных через for</w:t>
      </w:r>
    </w:p>
    <w:p>
      <w:pPr>
        <w:pStyle w:val="BodyText"/>
      </w:pPr>
      <w:r>
        <w:t xml:space="preserve">Визуализируем решение с помощью Plots(</w:t>
      </w:r>
      <w:r>
        <w:t xml:space="preserve">@fig:005</w:t>
      </w:r>
      <w:r>
        <w:t xml:space="preserve">)</w:t>
      </w:r>
    </w:p>
    <w:p>
      <w:pPr>
        <w:pStyle w:val="CaptionedFigure"/>
      </w:pPr>
      <w:r>
        <w:drawing>
          <wp:inline>
            <wp:extent cx="5334000" cy="5801699"/>
            <wp:effectExtent b="0" l="0" r="0" t="0"/>
            <wp:docPr descr="Визуализация" title="" id="36" name="Picture"/>
            <a:graphic>
              <a:graphicData uri="http://schemas.openxmlformats.org/drawingml/2006/picture">
                <pic:pic>
                  <pic:nvPicPr>
                    <pic:cNvPr descr="./image/code-plo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</w:t>
      </w:r>
    </w:p>
    <w:p>
      <w:pPr>
        <w:pStyle w:val="BodyText"/>
      </w:pPr>
      <w:r>
        <w:t xml:space="preserve">Математические модели для первого случая(</w:t>
      </w:r>
      <w:r>
        <w:t xml:space="preserve">@fig:006</w:t>
      </w:r>
      <w:r>
        <w:t xml:space="preserve"> </w:t>
      </w:r>
      <w:r>
        <w:t xml:space="preserve">-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первого случая" title="" id="39" name="Picture"/>
            <a:graphic>
              <a:graphicData uri="http://schemas.openxmlformats.org/drawingml/2006/picture">
                <pic:pic>
                  <pic:nvPicPr>
                    <pic:cNvPr descr="./image/model1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первого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первого случая" title="" id="42" name="Picture"/>
            <a:graphic>
              <a:graphicData uri="http://schemas.openxmlformats.org/drawingml/2006/picture">
                <pic:pic>
                  <pic:nvPicPr>
                    <pic:cNvPr descr="./image/model1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первого случая</w:t>
      </w:r>
    </w:p>
    <w:p>
      <w:pPr>
        <w:pStyle w:val="BodyText"/>
      </w:pPr>
      <w:r>
        <w:t xml:space="preserve">Математические модели для второго случая(</w:t>
      </w:r>
      <w:r>
        <w:t xml:space="preserve">@fig:008</w:t>
      </w:r>
      <w:r>
        <w:t xml:space="preserve"> </w:t>
      </w:r>
      <w:r>
        <w:t xml:space="preserve">-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второго случая" title="" id="45" name="Picture"/>
            <a:graphic>
              <a:graphicData uri="http://schemas.openxmlformats.org/drawingml/2006/picture">
                <pic:pic>
                  <pic:nvPicPr>
                    <pic:cNvPr descr="./image/model2_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второго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второго случая" title="" id="48" name="Picture"/>
            <a:graphic>
              <a:graphicData uri="http://schemas.openxmlformats.org/drawingml/2006/picture">
                <pic:pic>
                  <pic:nvPicPr>
                    <pic:cNvPr descr="./image/model2_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второго случая</w:t>
      </w:r>
    </w:p>
    <w:p>
      <w:pPr>
        <w:pStyle w:val="BodyText"/>
      </w:pPr>
      <w:r>
        <w:t xml:space="preserve">Математические модели для третьего случая(</w:t>
      </w:r>
      <w:r>
        <w:t xml:space="preserve">@fig:008</w:t>
      </w:r>
      <w:r>
        <w:t xml:space="preserve"> </w:t>
      </w:r>
      <w:r>
        <w:t xml:space="preserve">-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Фазовый портрет третьего случая" title="" id="51" name="Picture"/>
            <a:graphic>
              <a:graphicData uri="http://schemas.openxmlformats.org/drawingml/2006/picture">
                <pic:pic>
                  <pic:nvPicPr>
                    <pic:cNvPr descr="./image/model3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третьего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шение третьего случая" title="" id="54" name="Picture"/>
            <a:graphic>
              <a:graphicData uri="http://schemas.openxmlformats.org/drawingml/2006/picture">
                <pic:pic>
                  <pic:nvPicPr>
                    <pic:cNvPr descr="./image/model3_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третьего случая</w:t>
      </w:r>
    </w:p>
    <w:bookmarkEnd w:id="56"/>
    <w:bookmarkStart w:id="83" w:name="код-openmodelica"/>
    <w:p>
      <w:pPr>
        <w:pStyle w:val="Heading2"/>
      </w:pPr>
      <w:r>
        <w:t xml:space="preserve">Код OpenModelica:</w:t>
      </w:r>
    </w:p>
    <w:p>
      <w:pPr>
        <w:pStyle w:val="FirstParagraph"/>
      </w:pPr>
      <w:r>
        <w:t xml:space="preserve">Сначала создадимX и Y, указав значений нулевых как стартовые, после чего опишем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γ</m:t>
        </m:r>
      </m:oMath>
      <w:r>
        <w:t xml:space="preserve">. Далее запишем дифференциальное уравнение (</w:t>
      </w:r>
      <w:r>
        <w:t xml:space="preserve">@fig:012</w:t>
      </w:r>
      <w:r>
        <w:t xml:space="preserve"> </w:t>
      </w:r>
      <w:r>
        <w:t xml:space="preserve">-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5334000" cy="1824559"/>
            <wp:effectExtent b="0" l="0" r="0" t="0"/>
            <wp:docPr descr="Код OpenModelica для первого случая" title="" id="58" name="Picture"/>
            <a:graphic>
              <a:graphicData uri="http://schemas.openxmlformats.org/drawingml/2006/picture">
                <pic:pic>
                  <pic:nvPicPr>
                    <pic:cNvPr descr="./image/ocode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для первого случая</w:t>
      </w:r>
    </w:p>
    <w:p>
      <w:pPr>
        <w:pStyle w:val="CaptionedFigure"/>
      </w:pPr>
      <w:r>
        <w:drawing>
          <wp:inline>
            <wp:extent cx="5334000" cy="1815461"/>
            <wp:effectExtent b="0" l="0" r="0" t="0"/>
            <wp:docPr descr="Код OpenModelica для второго случая" title="" id="61" name="Picture"/>
            <a:graphic>
              <a:graphicData uri="http://schemas.openxmlformats.org/drawingml/2006/picture">
                <pic:pic>
                  <pic:nvPicPr>
                    <pic:cNvPr descr="./image/ocode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для второго случая</w:t>
      </w:r>
    </w:p>
    <w:p>
      <w:pPr>
        <w:pStyle w:val="CaptionedFigure"/>
      </w:pPr>
      <w:r>
        <w:drawing>
          <wp:inline>
            <wp:extent cx="5334000" cy="1815461"/>
            <wp:effectExtent b="0" l="0" r="0" t="0"/>
            <wp:docPr descr="Код OpenModelica для третьего случая" title="" id="63" name="Picture"/>
            <a:graphic>
              <a:graphicData uri="http://schemas.openxmlformats.org/drawingml/2006/picture">
                <pic:pic>
                  <pic:nvPicPr>
                    <pic:cNvPr descr="./image/ocode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для третьего случая</w:t>
      </w:r>
    </w:p>
    <w:p>
      <w:pPr>
        <w:pStyle w:val="BodyText"/>
      </w:pPr>
      <w:r>
        <w:t xml:space="preserve">Визуализируем фазовые портреты и решения на графике для первогой случая (</w:t>
      </w:r>
      <w:r>
        <w:t xml:space="preserve">@fig:015</w:t>
      </w:r>
      <w:r>
        <w:t xml:space="preserve"> </w:t>
      </w:r>
      <w:r>
        <w:t xml:space="preserve">-</w:t>
      </w:r>
      <w:r>
        <w:t xml:space="preserve"> </w:t>
      </w:r>
      <w:r>
        <w:t xml:space="preserve">@fig:016</w:t>
      </w:r>
      <w:r>
        <w:t xml:space="preserve">):</w:t>
      </w:r>
    </w:p>
    <w:p>
      <w:pPr>
        <w:pStyle w:val="CaptionedFigure"/>
      </w:pPr>
      <w:r>
        <w:drawing>
          <wp:inline>
            <wp:extent cx="5334000" cy="1991602"/>
            <wp:effectExtent b="0" l="0" r="0" t="0"/>
            <wp:docPr descr="Фазовый портрет первого случая" title="" id="66" name="Picture"/>
            <a:graphic>
              <a:graphicData uri="http://schemas.openxmlformats.org/drawingml/2006/picture">
                <pic:pic>
                  <pic:nvPicPr>
                    <pic:cNvPr descr="./image/omodel1_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первого случая</w:t>
      </w:r>
    </w:p>
    <w:p>
      <w:pPr>
        <w:pStyle w:val="CaptionedFigure"/>
      </w:pPr>
      <w:r>
        <w:drawing>
          <wp:inline>
            <wp:extent cx="5334000" cy="1931714"/>
            <wp:effectExtent b="0" l="0" r="0" t="0"/>
            <wp:docPr descr="Решение первого случая" title="" id="69" name="Picture"/>
            <a:graphic>
              <a:graphicData uri="http://schemas.openxmlformats.org/drawingml/2006/picture">
                <pic:pic>
                  <pic:nvPicPr>
                    <pic:cNvPr descr="./image/omodel1_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первого случая</w:t>
      </w:r>
    </w:p>
    <w:p>
      <w:pPr>
        <w:pStyle w:val="BodyText"/>
      </w:pPr>
      <w:r>
        <w:t xml:space="preserve">Для второго случая (</w:t>
      </w:r>
      <w:r>
        <w:t xml:space="preserve">@fig:017</w:t>
      </w:r>
      <w:r>
        <w:t xml:space="preserve"> </w:t>
      </w:r>
      <w:r>
        <w:t xml:space="preserve">-</w:t>
      </w:r>
      <w:r>
        <w:t xml:space="preserve"> </w:t>
      </w:r>
      <w:r>
        <w:t xml:space="preserve">@fig:018</w:t>
      </w:r>
      <w:r>
        <w:t xml:space="preserve">):</w:t>
      </w:r>
    </w:p>
    <w:p>
      <w:pPr>
        <w:pStyle w:val="CaptionedFigure"/>
      </w:pPr>
      <w:r>
        <w:drawing>
          <wp:inline>
            <wp:extent cx="5334000" cy="2027138"/>
            <wp:effectExtent b="0" l="0" r="0" t="0"/>
            <wp:docPr descr="Фазовый портрет второго случая" title="" id="72" name="Picture"/>
            <a:graphic>
              <a:graphicData uri="http://schemas.openxmlformats.org/drawingml/2006/picture">
                <pic:pic>
                  <pic:nvPicPr>
                    <pic:cNvPr descr="./image/omodel2_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второго случая</w:t>
      </w:r>
    </w:p>
    <w:p>
      <w:pPr>
        <w:pStyle w:val="CaptionedFigure"/>
      </w:pPr>
      <w:r>
        <w:drawing>
          <wp:inline>
            <wp:extent cx="5334000" cy="1917474"/>
            <wp:effectExtent b="0" l="0" r="0" t="0"/>
            <wp:docPr descr="Решение второго случая" title="" id="75" name="Picture"/>
            <a:graphic>
              <a:graphicData uri="http://schemas.openxmlformats.org/drawingml/2006/picture">
                <pic:pic>
                  <pic:nvPicPr>
                    <pic:cNvPr descr="./image/omodel2_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второго случая</w:t>
      </w:r>
    </w:p>
    <w:p>
      <w:pPr>
        <w:pStyle w:val="BodyText"/>
      </w:pPr>
      <w:r>
        <w:t xml:space="preserve">Для третьего случая (</w:t>
      </w:r>
      <w:r>
        <w:t xml:space="preserve">@fig:019</w:t>
      </w:r>
      <w:r>
        <w:t xml:space="preserve"> </w:t>
      </w:r>
      <w:r>
        <w:t xml:space="preserve">-</w:t>
      </w:r>
      <w:r>
        <w:t xml:space="preserve"> </w:t>
      </w:r>
      <w:r>
        <w:t xml:space="preserve">@fig:020</w:t>
      </w:r>
      <w:r>
        <w:t xml:space="preserve">):</w:t>
      </w:r>
    </w:p>
    <w:p>
      <w:pPr>
        <w:pStyle w:val="CaptionedFigure"/>
      </w:pPr>
      <w:r>
        <w:drawing>
          <wp:inline>
            <wp:extent cx="5334000" cy="2033564"/>
            <wp:effectExtent b="0" l="0" r="0" t="0"/>
            <wp:docPr descr="Фазовый портрет третьего случая" title="" id="78" name="Picture"/>
            <a:graphic>
              <a:graphicData uri="http://schemas.openxmlformats.org/drawingml/2006/picture">
                <pic:pic>
                  <pic:nvPicPr>
                    <pic:cNvPr descr="./image/omodel3_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третьего случая</w:t>
      </w:r>
    </w:p>
    <w:p>
      <w:pPr>
        <w:pStyle w:val="CaptionedFigure"/>
      </w:pPr>
      <w:r>
        <w:drawing>
          <wp:inline>
            <wp:extent cx="5334000" cy="1962475"/>
            <wp:effectExtent b="0" l="0" r="0" t="0"/>
            <wp:docPr descr="Решение третьего случая" title="" id="81" name="Picture"/>
            <a:graphic>
              <a:graphicData uri="http://schemas.openxmlformats.org/drawingml/2006/picture">
                <pic:pic>
                  <pic:nvPicPr>
                    <pic:cNvPr descr="./image/omodel3_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третьего случая</w:t>
      </w:r>
    </w:p>
    <w:bookmarkEnd w:id="83"/>
    <w:bookmarkEnd w:id="84"/>
    <w:bookmarkStart w:id="8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 написан код на Julia и OpenModelica для решения 3 случаев движения гармонического осциллятора.</w:t>
      </w:r>
    </w:p>
    <w:bookmarkEnd w:id="85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https://habr.com/ru/post/219337/</w:t>
      </w:r>
    </w:p>
    <w:p>
      <w:pPr>
        <w:pStyle w:val="BodyText"/>
      </w:pPr>
      <w:r>
        <w:t xml:space="preserve">[2] https://ru.wikipedia.org/wiki/Гармонический_осциллятор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Покрас Илья Михайлович</dc:creator>
  <dc:language>ru-RU</dc:language>
  <cp:keywords/>
  <dcterms:created xsi:type="dcterms:W3CDTF">2023-03-02T17:34:33Z</dcterms:created>
  <dcterms:modified xsi:type="dcterms:W3CDTF">2023-03-02T17:34:33Z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гармонический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