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C6774"/>
          <w:sz w:val="18"/>
          <w:szCs w:val="18"/>
        </w:rPr>
        <w:t xml:space="preserve">ANNEX C · NGPA/T/2026/014</w:t>
      </w:r>
    </w:p>
    <w:p>
      <w:pPr>
        <w:spacing w:after="120"/>
      </w:pPr>
      <w:r>
        <w:rPr>
          <w:b/>
          <w:bCs/>
          <w:color w:val="13304D"/>
          <w:sz w:val="44"/>
          <w:szCs w:val="44"/>
        </w:rPr>
        <w:t xml:space="preserve">Draft Contract</w:t>
      </w:r>
    </w:p>
    <w:p>
      <w:pPr>
        <w:spacing w:after="100"/>
        <w:jc w:val="both"/>
      </w:pPr>
      <w:r>
        <w:rPr>
          <w:sz w:val="20"/>
          <w:szCs w:val="20"/>
        </w:rPr>
        <w:t xml:space="preserve">Supply, Installation, Commissioning and Maintenance of High-Energy Cargo X-Ray Inspection Systems, Port of Al-Noor. Between the Northern Gulf Ports Authority (the "Employer") and the successful Bidder (the "Contractor").</w:t>
      </w:r>
    </w:p>
    <w:p>
      <w:pPr>
        <w:spacing w:after="100"/>
        <w:jc w:val="both"/>
      </w:pPr>
      <w:r>
        <w:rPr>
          <w:sz w:val="20"/>
          <w:szCs w:val="20"/>
        </w:rPr>
        <w:t xml:space="preserve">SAMPLE / FICTIONAL DOCUMENT created for software testing. Not a real contract.</w:t>
      </w:r>
    </w:p>
    <w:p>
      <w:pPr>
        <w:pStyle w:val="Heading1"/>
        <w:spacing w:after="120" w:before="240"/>
      </w:pPr>
      <w:r>
        <w:rPr>
          <w:b/>
          <w:bCs/>
          <w:color w:val="13304D"/>
          <w:sz w:val="30"/>
          <w:szCs w:val="30"/>
        </w:rPr>
        <w:t xml:space="preserve">Part A — General Conditions (GC)</w:t>
      </w:r>
    </w:p>
    <w:p>
      <w:pPr>
        <w:pStyle w:val="Heading2"/>
        <w:spacing w:after="80" w:before="200"/>
      </w:pPr>
      <w:r>
        <w:rPr>
          <w:b/>
          <w:bCs/>
          <w:color w:val="13304D"/>
          <w:sz w:val="24"/>
          <w:szCs w:val="24"/>
        </w:rPr>
        <w:t xml:space="preserve">GC 1  Definitions and interpretation</w:t>
      </w:r>
    </w:p>
    <w:p>
      <w:pPr>
        <w:spacing w:after="100"/>
        <w:ind w:left="720" w:hanging="720"/>
        <w:jc w:val="both"/>
      </w:pPr>
      <w:r>
        <w:rPr>
          <w:b/>
          <w:bCs/>
          <w:color w:val="13304D"/>
          <w:sz w:val="20"/>
          <w:szCs w:val="20"/>
        </w:rPr>
        <w:t xml:space="preserve">GC 1.1	</w:t>
      </w:r>
      <w:r>
        <w:rPr>
          <w:sz w:val="20"/>
          <w:szCs w:val="20"/>
        </w:rPr>
        <w:t xml:space="preserve">Capitalised terms have the meaning given in the RFP (§1.4) unless defined otherwise here.</w:t>
      </w:r>
    </w:p>
    <w:p>
      <w:pPr>
        <w:spacing w:after="100"/>
        <w:ind w:left="720" w:hanging="720"/>
        <w:jc w:val="both"/>
      </w:pPr>
      <w:r>
        <w:rPr>
          <w:b/>
          <w:bCs/>
          <w:color w:val="13304D"/>
          <w:sz w:val="20"/>
          <w:szCs w:val="20"/>
        </w:rPr>
        <w:t xml:space="preserve">GC 1.2	</w:t>
      </w:r>
      <w:r>
        <w:rPr>
          <w:sz w:val="20"/>
          <w:szCs w:val="20"/>
        </w:rPr>
        <w:t xml:space="preserve">Headings are for convenience only. The singular includes the plural.</w:t>
      </w:r>
    </w:p>
    <w:p>
      <w:pPr>
        <w:spacing w:after="100"/>
        <w:ind w:left="720" w:hanging="720"/>
        <w:jc w:val="both"/>
      </w:pPr>
      <w:r>
        <w:rPr>
          <w:b/>
          <w:bCs/>
          <w:color w:val="13304D"/>
          <w:sz w:val="20"/>
          <w:szCs w:val="20"/>
        </w:rPr>
        <w:t xml:space="preserve">GC 1.3	</w:t>
      </w:r>
      <w:r>
        <w:rPr>
          <w:sz w:val="20"/>
          <w:szCs w:val="20"/>
        </w:rPr>
        <w:t xml:space="preserve">The Special Conditions (Part B) prevail over these General Conditions. Where a Special Condition amends a General Condition, only the amended provision applies.</w:t>
      </w:r>
    </w:p>
    <w:p>
      <w:pPr>
        <w:pStyle w:val="Heading2"/>
        <w:spacing w:after="80" w:before="200"/>
      </w:pPr>
      <w:r>
        <w:rPr>
          <w:b/>
          <w:bCs/>
          <w:color w:val="13304D"/>
          <w:sz w:val="24"/>
          <w:szCs w:val="24"/>
        </w:rPr>
        <w:t xml:space="preserve">GC 2  Contract documents</w:t>
      </w:r>
    </w:p>
    <w:p>
      <w:pPr>
        <w:spacing w:after="100"/>
        <w:ind w:left="720" w:hanging="720"/>
        <w:jc w:val="both"/>
      </w:pPr>
      <w:r>
        <w:rPr>
          <w:b/>
          <w:bCs/>
          <w:color w:val="13304D"/>
          <w:sz w:val="20"/>
          <w:szCs w:val="20"/>
        </w:rPr>
        <w:t xml:space="preserve">GC 2.1	</w:t>
      </w:r>
      <w:r>
        <w:rPr>
          <w:sz w:val="20"/>
          <w:szCs w:val="20"/>
        </w:rPr>
        <w:t xml:space="preserve">The Contract comprises, in order of priority: the Contract Agreement; the Special Conditions; these General Conditions; the Appendices; the Technical Specifications (Annex B as amended by Addenda); the Contractor's Proposal as clarified during evaluation.</w:t>
      </w:r>
    </w:p>
    <w:p>
      <w:pPr>
        <w:spacing w:after="100"/>
        <w:ind w:left="720" w:hanging="720"/>
        <w:jc w:val="both"/>
      </w:pPr>
      <w:r>
        <w:rPr>
          <w:b/>
          <w:bCs/>
          <w:color w:val="13304D"/>
          <w:sz w:val="20"/>
          <w:szCs w:val="20"/>
        </w:rPr>
        <w:t xml:space="preserve">GC 2.2	</w:t>
      </w:r>
      <w:r>
        <w:rPr>
          <w:sz w:val="20"/>
          <w:szCs w:val="20"/>
        </w:rPr>
        <w:t xml:space="preserve">Any general terms and conditions of the Contractor (including those printed on quotations, datasheets or invoices) are excluded and have no effect.</w:t>
      </w:r>
    </w:p>
    <w:p>
      <w:pPr>
        <w:pStyle w:val="Heading2"/>
        <w:spacing w:after="80" w:before="200"/>
      </w:pPr>
      <w:r>
        <w:rPr>
          <w:b/>
          <w:bCs/>
          <w:color w:val="13304D"/>
          <w:sz w:val="24"/>
          <w:szCs w:val="24"/>
        </w:rPr>
        <w:t xml:space="preserve">GC 4  Contract price and taxes</w:t>
      </w:r>
    </w:p>
    <w:p>
      <w:pPr>
        <w:spacing w:after="100"/>
        <w:ind w:left="720" w:hanging="720"/>
        <w:jc w:val="both"/>
      </w:pPr>
      <w:r>
        <w:rPr>
          <w:b/>
          <w:bCs/>
          <w:color w:val="13304D"/>
          <w:sz w:val="20"/>
          <w:szCs w:val="20"/>
        </w:rPr>
        <w:t xml:space="preserve">GC 4.1	</w:t>
      </w:r>
      <w:r>
        <w:rPr>
          <w:sz w:val="20"/>
          <w:szCs w:val="20"/>
        </w:rPr>
        <w:t xml:space="preserve">The Contract Price is DDP site (Incoterms 2020) and includes freight, insurance, import duties and all taxes except VAT. The Employer will not issue customs duty exemption certificates.</w:t>
      </w:r>
    </w:p>
    <w:p>
      <w:pPr>
        <w:spacing w:after="100"/>
        <w:ind w:left="720" w:hanging="720"/>
        <w:jc w:val="both"/>
      </w:pPr>
      <w:r>
        <w:rPr>
          <w:b/>
          <w:bCs/>
          <w:color w:val="13304D"/>
          <w:sz w:val="20"/>
          <w:szCs w:val="20"/>
        </w:rPr>
        <w:t xml:space="preserve">GC 4.2	</w:t>
      </w:r>
      <w:r>
        <w:rPr>
          <w:sz w:val="20"/>
          <w:szCs w:val="20"/>
        </w:rPr>
        <w:t xml:space="preserve">CAPEX prices are firm and not subject to adjustment. CMC prices are subject to GC 18.</w:t>
      </w:r>
    </w:p>
    <w:p>
      <w:pPr>
        <w:pStyle w:val="Heading2"/>
        <w:spacing w:after="80" w:before="200"/>
      </w:pPr>
      <w:r>
        <w:rPr>
          <w:b/>
          <w:bCs/>
          <w:color w:val="13304D"/>
          <w:sz w:val="24"/>
          <w:szCs w:val="24"/>
        </w:rPr>
        <w:t xml:space="preserve">GC 5  Payment</w:t>
      </w:r>
    </w:p>
    <w:p>
      <w:pPr>
        <w:spacing w:after="100"/>
        <w:ind w:left="720" w:hanging="720"/>
        <w:jc w:val="both"/>
      </w:pPr>
      <w:r>
        <w:rPr>
          <w:b/>
          <w:bCs/>
          <w:color w:val="13304D"/>
          <w:sz w:val="20"/>
          <w:szCs w:val="20"/>
        </w:rPr>
        <w:t xml:space="preserve">GC 5.1	</w:t>
      </w:r>
      <w:r>
        <w:rPr>
          <w:sz w:val="20"/>
          <w:szCs w:val="20"/>
        </w:rPr>
        <w:t xml:space="preserve">Payments are made per the milestones in Appendix 1 within 45 days of receipt of a correct invoice and supporting certificates.</w:t>
      </w:r>
    </w:p>
    <w:p>
      <w:pPr>
        <w:spacing w:after="100"/>
        <w:ind w:left="720" w:hanging="720"/>
        <w:jc w:val="both"/>
      </w:pPr>
      <w:r>
        <w:rPr>
          <w:b/>
          <w:bCs/>
          <w:color w:val="13304D"/>
          <w:sz w:val="20"/>
          <w:szCs w:val="20"/>
        </w:rPr>
        <w:t xml:space="preserve">GC 5.2	</w:t>
      </w:r>
      <w:r>
        <w:rPr>
          <w:sz w:val="20"/>
          <w:szCs w:val="20"/>
        </w:rPr>
        <w:t xml:space="preserve">The advance payment is made only against an Advance Payment Guarantee of the same amount issued or confirmed by a bank licensed in the State, reducing pro rata with deliveries.</w:t>
      </w:r>
    </w:p>
    <w:p>
      <w:pPr>
        <w:spacing w:after="100"/>
        <w:ind w:left="720" w:hanging="720"/>
        <w:jc w:val="both"/>
      </w:pPr>
      <w:r>
        <w:rPr>
          <w:b/>
          <w:bCs/>
          <w:color w:val="13304D"/>
          <w:sz w:val="20"/>
          <w:szCs w:val="20"/>
        </w:rPr>
        <w:t xml:space="preserve">GC 5.3	</w:t>
      </w:r>
      <w:r>
        <w:rPr>
          <w:sz w:val="20"/>
          <w:szCs w:val="20"/>
        </w:rPr>
        <w:t xml:space="preserve">The Employer may withhold payment of amounts disputed in good faith and set off delay damages and availability penalties.</w:t>
      </w:r>
    </w:p>
    <w:p>
      <w:pPr>
        <w:pStyle w:val="Heading2"/>
        <w:spacing w:after="80" w:before="200"/>
      </w:pPr>
      <w:r>
        <w:rPr>
          <w:b/>
          <w:bCs/>
          <w:color w:val="13304D"/>
          <w:sz w:val="24"/>
          <w:szCs w:val="24"/>
        </w:rPr>
        <w:t xml:space="preserve">GC 6  Securities</w:t>
      </w:r>
    </w:p>
    <w:p>
      <w:pPr>
        <w:spacing w:after="100"/>
        <w:ind w:left="720" w:hanging="720"/>
        <w:jc w:val="both"/>
      </w:pPr>
      <w:r>
        <w:rPr>
          <w:b/>
          <w:bCs/>
          <w:color w:val="13304D"/>
          <w:sz w:val="20"/>
          <w:szCs w:val="20"/>
        </w:rPr>
        <w:t xml:space="preserve">GC 6.1	</w:t>
      </w:r>
      <w:r>
        <w:rPr>
          <w:sz w:val="20"/>
          <w:szCs w:val="20"/>
        </w:rPr>
        <w:t xml:space="preserve">Within 28 days of signature the Contractor shall provide a Performance Security of 10% of the Contract Price, valid until 28 days after the last FAC.</w:t>
      </w:r>
    </w:p>
    <w:p>
      <w:pPr>
        <w:pStyle w:val="Heading2"/>
        <w:spacing w:after="80" w:before="200"/>
      </w:pPr>
      <w:r>
        <w:rPr>
          <w:b/>
          <w:bCs/>
          <w:color w:val="13304D"/>
          <w:sz w:val="24"/>
          <w:szCs w:val="24"/>
        </w:rPr>
        <w:t xml:space="preserve">GC 7  Time for completion and delay damages</w:t>
      </w:r>
    </w:p>
    <w:p>
      <w:pPr>
        <w:spacing w:after="100"/>
        <w:ind w:left="720" w:hanging="720"/>
        <w:jc w:val="both"/>
      </w:pPr>
      <w:r>
        <w:rPr>
          <w:b/>
          <w:bCs/>
          <w:color w:val="13304D"/>
          <w:sz w:val="20"/>
          <w:szCs w:val="20"/>
        </w:rPr>
        <w:t xml:space="preserve">GC 7.1	</w:t>
      </w:r>
      <w:r>
        <w:rPr>
          <w:sz w:val="20"/>
          <w:szCs w:val="20"/>
        </w:rPr>
        <w:t xml:space="preserve">Time for completion is 9 months from the Effective Date (RFP §5.1.1).</w:t>
      </w:r>
    </w:p>
    <w:p>
      <w:pPr>
        <w:spacing w:after="100"/>
        <w:ind w:left="720" w:hanging="720"/>
        <w:jc w:val="both"/>
      </w:pPr>
      <w:r>
        <w:rPr>
          <w:b/>
          <w:bCs/>
          <w:color w:val="13304D"/>
          <w:sz w:val="20"/>
          <w:szCs w:val="20"/>
        </w:rPr>
        <w:t xml:space="preserve">GC 7.2	</w:t>
      </w:r>
      <w:r>
        <w:rPr>
          <w:sz w:val="20"/>
          <w:szCs w:val="20"/>
        </w:rPr>
        <w:t xml:space="preserve">For each day of delay the Contractor shall pay delay damages of 0.05% of the price of the delayed system, up to a maximum of 5% of the Contract Price.</w:t>
      </w:r>
    </w:p>
    <w:p>
      <w:pPr>
        <w:spacing w:after="100"/>
        <w:ind w:left="720" w:hanging="720"/>
        <w:jc w:val="both"/>
      </w:pPr>
      <w:r>
        <w:rPr>
          <w:b/>
          <w:bCs/>
          <w:color w:val="13304D"/>
          <w:sz w:val="20"/>
          <w:szCs w:val="20"/>
        </w:rPr>
        <w:t xml:space="preserve">GC 7.3	</w:t>
      </w:r>
      <w:r>
        <w:rPr>
          <w:sz w:val="20"/>
          <w:szCs w:val="20"/>
        </w:rPr>
        <w:t xml:space="preserve">When maximum delay damages are reached, the Employer may terminate for default under GC 15.</w:t>
      </w:r>
    </w:p>
    <w:p>
      <w:pPr>
        <w:pStyle w:val="Heading2"/>
        <w:spacing w:after="80" w:before="200"/>
      </w:pPr>
      <w:r>
        <w:rPr>
          <w:b/>
          <w:bCs/>
          <w:color w:val="13304D"/>
          <w:sz w:val="24"/>
          <w:szCs w:val="24"/>
        </w:rPr>
        <w:t xml:space="preserve">GC 8  Acceptance</w:t>
      </w:r>
    </w:p>
    <w:p>
      <w:pPr>
        <w:spacing w:after="100"/>
        <w:ind w:left="720" w:hanging="720"/>
        <w:jc w:val="both"/>
      </w:pPr>
      <w:r>
        <w:rPr>
          <w:b/>
          <w:bCs/>
          <w:color w:val="13304D"/>
          <w:sz w:val="20"/>
          <w:szCs w:val="20"/>
        </w:rPr>
        <w:t xml:space="preserve">GC 8.1	</w:t>
      </w:r>
      <w:r>
        <w:rPr>
          <w:sz w:val="20"/>
          <w:szCs w:val="20"/>
        </w:rPr>
        <w:t xml:space="preserve">FAT, SAT, trial operation, PAC and FAC follow RFP §5.2. PAC is issued per system. FAC is issued 12 months after PAC if all defects are remedied.</w:t>
      </w:r>
    </w:p>
    <w:p>
      <w:pPr>
        <w:pStyle w:val="Heading2"/>
        <w:spacing w:after="80" w:before="200"/>
      </w:pPr>
      <w:r>
        <w:rPr>
          <w:b/>
          <w:bCs/>
          <w:color w:val="13304D"/>
          <w:sz w:val="24"/>
          <w:szCs w:val="24"/>
        </w:rPr>
        <w:t xml:space="preserve">GC 9  Warranty</w:t>
      </w:r>
    </w:p>
    <w:p>
      <w:pPr>
        <w:spacing w:after="100"/>
        <w:ind w:left="720" w:hanging="720"/>
        <w:jc w:val="both"/>
      </w:pPr>
      <w:r>
        <w:rPr>
          <w:b/>
          <w:bCs/>
          <w:color w:val="13304D"/>
          <w:sz w:val="20"/>
          <w:szCs w:val="20"/>
        </w:rPr>
        <w:t xml:space="preserve">GC 9.1	</w:t>
      </w:r>
      <w:r>
        <w:rPr>
          <w:sz w:val="20"/>
          <w:szCs w:val="20"/>
        </w:rPr>
        <w:t xml:space="preserve">The Contractor warrants each system for 24 months from its PAC. The warranty covers all parts, labour and travel, including the X-ray source (linear accelerator) and detector arrays, which are not consumables.</w:t>
      </w:r>
    </w:p>
    <w:p>
      <w:pPr>
        <w:spacing w:after="100"/>
        <w:ind w:left="720" w:hanging="720"/>
        <w:jc w:val="both"/>
      </w:pPr>
      <w:r>
        <w:rPr>
          <w:b/>
          <w:bCs/>
          <w:color w:val="13304D"/>
          <w:sz w:val="20"/>
          <w:szCs w:val="20"/>
        </w:rPr>
        <w:t xml:space="preserve">GC 9.2	</w:t>
      </w:r>
      <w:r>
        <w:rPr>
          <w:sz w:val="20"/>
          <w:szCs w:val="20"/>
        </w:rPr>
        <w:t xml:space="preserve">Defects shall be remedied within 72 hours of notification. The warranty period of a system is extended by every period during which it is unavailable for more than 72 consecutive hours due to a defect.</w:t>
      </w:r>
    </w:p>
    <w:p>
      <w:pPr>
        <w:pStyle w:val="Heading2"/>
        <w:spacing w:after="80" w:before="200"/>
      </w:pPr>
      <w:r>
        <w:rPr>
          <w:b/>
          <w:bCs/>
          <w:color w:val="13304D"/>
          <w:sz w:val="24"/>
          <w:szCs w:val="24"/>
        </w:rPr>
        <w:t xml:space="preserve">GC 10  Limitation of liability</w:t>
      </w:r>
    </w:p>
    <w:p>
      <w:pPr>
        <w:spacing w:after="100"/>
        <w:ind w:left="720" w:hanging="720"/>
        <w:jc w:val="both"/>
      </w:pPr>
      <w:r>
        <w:rPr>
          <w:b/>
          <w:bCs/>
          <w:color w:val="13304D"/>
          <w:sz w:val="20"/>
          <w:szCs w:val="20"/>
        </w:rPr>
        <w:t xml:space="preserve">GC 10.1	</w:t>
      </w:r>
      <w:r>
        <w:rPr>
          <w:sz w:val="20"/>
          <w:szCs w:val="20"/>
        </w:rPr>
        <w:t xml:space="preserve">The Contractor's aggregate liability under the Contract is limited to 100% of the Contract Price. Neither party is liable for indirect or consequential loss.</w:t>
      </w:r>
    </w:p>
    <w:p>
      <w:pPr>
        <w:pStyle w:val="Heading2"/>
        <w:spacing w:after="80" w:before="200"/>
      </w:pPr>
      <w:r>
        <w:rPr>
          <w:b/>
          <w:bCs/>
          <w:color w:val="13304D"/>
          <w:sz w:val="24"/>
          <w:szCs w:val="24"/>
        </w:rPr>
        <w:t xml:space="preserve">GC 11  Intellectual property and software escrow</w:t>
      </w:r>
    </w:p>
    <w:p>
      <w:pPr>
        <w:spacing w:after="100"/>
        <w:ind w:left="720" w:hanging="720"/>
        <w:jc w:val="both"/>
      </w:pPr>
      <w:r>
        <w:rPr>
          <w:b/>
          <w:bCs/>
          <w:color w:val="13304D"/>
          <w:sz w:val="20"/>
          <w:szCs w:val="20"/>
        </w:rPr>
        <w:t xml:space="preserve">GC 11.1	</w:t>
      </w:r>
      <w:r>
        <w:rPr>
          <w:sz w:val="20"/>
          <w:szCs w:val="20"/>
        </w:rPr>
        <w:t xml:space="preserve">The Contractor grants the Employer a perpetual, irrevocable licence to use all software supplied for the purpose of the Contract, for all systems and users, without additional fees.</w:t>
      </w:r>
    </w:p>
    <w:p>
      <w:pPr>
        <w:spacing w:after="100"/>
        <w:ind w:left="720" w:hanging="720"/>
        <w:jc w:val="both"/>
      </w:pPr>
      <w:r>
        <w:rPr>
          <w:b/>
          <w:bCs/>
          <w:color w:val="13304D"/>
          <w:sz w:val="20"/>
          <w:szCs w:val="20"/>
        </w:rPr>
        <w:t xml:space="preserve">GC 11.2	</w:t>
      </w:r>
      <w:r>
        <w:rPr>
          <w:sz w:val="20"/>
          <w:szCs w:val="20"/>
        </w:rPr>
        <w:t xml:space="preserve">The source code of the image management and analysis software, with build instructions, shall be deposited with an escrow agent acceptable to the Employer and updated with every release. Release events: insolvency, discontinuation of the product, or failure to provide support for 30 days after notice.</w:t>
      </w:r>
    </w:p>
    <w:p>
      <w:pPr>
        <w:pStyle w:val="Heading2"/>
        <w:spacing w:after="80" w:before="200"/>
      </w:pPr>
      <w:r>
        <w:rPr>
          <w:b/>
          <w:bCs/>
          <w:color w:val="13304D"/>
          <w:sz w:val="24"/>
          <w:szCs w:val="24"/>
        </w:rPr>
        <w:t xml:space="preserve">GC 12  Data ownership and confidentiality</w:t>
      </w:r>
    </w:p>
    <w:p>
      <w:pPr>
        <w:spacing w:after="100"/>
        <w:ind w:left="720" w:hanging="720"/>
        <w:jc w:val="both"/>
      </w:pPr>
      <w:r>
        <w:rPr>
          <w:b/>
          <w:bCs/>
          <w:color w:val="13304D"/>
          <w:sz w:val="20"/>
          <w:szCs w:val="20"/>
        </w:rPr>
        <w:t xml:space="preserve">GC 12.1	</w:t>
      </w:r>
      <w:r>
        <w:rPr>
          <w:sz w:val="20"/>
          <w:szCs w:val="20"/>
        </w:rPr>
        <w:t xml:space="preserve">All scan images, metadata, analyst annotations and derived data are the exclusive property of the Employer.</w:t>
      </w:r>
    </w:p>
    <w:p>
      <w:pPr>
        <w:spacing w:after="100"/>
        <w:ind w:left="720" w:hanging="720"/>
        <w:jc w:val="both"/>
      </w:pPr>
      <w:r>
        <w:rPr>
          <w:b/>
          <w:bCs/>
          <w:color w:val="13304D"/>
          <w:sz w:val="20"/>
          <w:szCs w:val="20"/>
        </w:rPr>
        <w:t xml:space="preserve">GC 12.2	</w:t>
      </w:r>
      <w:r>
        <w:rPr>
          <w:sz w:val="20"/>
          <w:szCs w:val="20"/>
        </w:rPr>
        <w:t xml:space="preserve">AI models, or improvements to models, trained or fine-tuned using the Employer's data are the Employer's property and shall not be used outside the Customs Data Center without the Employer's prior written consent. Breach is a material breach of the Contract.</w:t>
      </w:r>
    </w:p>
    <w:p>
      <w:pPr>
        <w:pStyle w:val="Heading2"/>
        <w:spacing w:after="80" w:before="200"/>
      </w:pPr>
      <w:r>
        <w:rPr>
          <w:b/>
          <w:bCs/>
          <w:color w:val="13304D"/>
          <w:sz w:val="24"/>
          <w:szCs w:val="24"/>
        </w:rPr>
        <w:t xml:space="preserve">GC 13  Insurance</w:t>
      </w:r>
    </w:p>
    <w:p>
      <w:pPr>
        <w:spacing w:after="100"/>
        <w:ind w:left="720" w:hanging="720"/>
        <w:jc w:val="both"/>
      </w:pPr>
      <w:r>
        <w:rPr>
          <w:b/>
          <w:bCs/>
          <w:color w:val="13304D"/>
          <w:sz w:val="20"/>
          <w:szCs w:val="20"/>
        </w:rPr>
        <w:t xml:space="preserve">GC 13.1	</w:t>
      </w:r>
      <w:r>
        <w:rPr>
          <w:sz w:val="20"/>
          <w:szCs w:val="20"/>
        </w:rPr>
        <w:t xml:space="preserve">The Contractor shall insure the Works until PAC and maintain third-party liability insurance of at least USD 5,000,000 per occurrence.</w:t>
      </w:r>
    </w:p>
    <w:p>
      <w:pPr>
        <w:pStyle w:val="Heading2"/>
        <w:spacing w:after="80" w:before="200"/>
      </w:pPr>
      <w:r>
        <w:rPr>
          <w:b/>
          <w:bCs/>
          <w:color w:val="13304D"/>
          <w:sz w:val="24"/>
          <w:szCs w:val="24"/>
        </w:rPr>
        <w:t xml:space="preserve">GC 14  Force majeure</w:t>
      </w:r>
    </w:p>
    <w:p>
      <w:pPr>
        <w:spacing w:after="100"/>
        <w:ind w:left="720" w:hanging="720"/>
        <w:jc w:val="both"/>
      </w:pPr>
      <w:r>
        <w:rPr>
          <w:b/>
          <w:bCs/>
          <w:color w:val="13304D"/>
          <w:sz w:val="20"/>
          <w:szCs w:val="20"/>
        </w:rPr>
        <w:t xml:space="preserve">GC 14.1	</w:t>
      </w:r>
      <w:r>
        <w:rPr>
          <w:sz w:val="20"/>
          <w:szCs w:val="20"/>
        </w:rPr>
        <w:t xml:space="preserve">Neither party is liable for failure caused by force majeure notified within 14 days. Supply-chain shortages of components are not force majeure.</w:t>
      </w:r>
    </w:p>
    <w:p>
      <w:pPr>
        <w:pStyle w:val="Heading2"/>
        <w:spacing w:after="80" w:before="200"/>
      </w:pPr>
      <w:r>
        <w:rPr>
          <w:b/>
          <w:bCs/>
          <w:color w:val="13304D"/>
          <w:sz w:val="24"/>
          <w:szCs w:val="24"/>
        </w:rPr>
        <w:t xml:space="preserve">GC 15  Termination</w:t>
      </w:r>
    </w:p>
    <w:p>
      <w:pPr>
        <w:spacing w:after="100"/>
        <w:ind w:left="720" w:hanging="720"/>
        <w:jc w:val="both"/>
      </w:pPr>
      <w:r>
        <w:rPr>
          <w:b/>
          <w:bCs/>
          <w:color w:val="13304D"/>
          <w:sz w:val="20"/>
          <w:szCs w:val="20"/>
        </w:rPr>
        <w:t xml:space="preserve">GC 15.1	</w:t>
      </w:r>
      <w:r>
        <w:rPr>
          <w:sz w:val="20"/>
          <w:szCs w:val="20"/>
        </w:rPr>
        <w:t xml:space="preserve">The Employer may terminate for the Contractor's default after 30 days' notice to remedy, and for convenience with 90 days' notice against payment for work performed.</w:t>
      </w:r>
    </w:p>
    <w:p>
      <w:pPr>
        <w:pStyle w:val="Heading2"/>
        <w:spacing w:after="80" w:before="200"/>
      </w:pPr>
      <w:r>
        <w:rPr>
          <w:b/>
          <w:bCs/>
          <w:color w:val="13304D"/>
          <w:sz w:val="24"/>
          <w:szCs w:val="24"/>
        </w:rPr>
        <w:t xml:space="preserve">GC 16  Disputes and governing law</w:t>
      </w:r>
    </w:p>
    <w:p>
      <w:pPr>
        <w:spacing w:after="100"/>
        <w:ind w:left="720" w:hanging="720"/>
        <w:jc w:val="both"/>
      </w:pPr>
      <w:r>
        <w:rPr>
          <w:b/>
          <w:bCs/>
          <w:color w:val="13304D"/>
          <w:sz w:val="20"/>
          <w:szCs w:val="20"/>
        </w:rPr>
        <w:t xml:space="preserve">GC 16.1	</w:t>
      </w:r>
      <w:r>
        <w:rPr>
          <w:sz w:val="20"/>
          <w:szCs w:val="20"/>
        </w:rPr>
        <w:t xml:space="preserve">Disputes are first referred to senior management for 30 days, then to arbitration seated in the capital under the rules of the National Arbitration Centre, in English. The Contract is governed by the laws of the State.</w:t>
      </w:r>
    </w:p>
    <w:p>
      <w:pPr>
        <w:pStyle w:val="Heading2"/>
        <w:spacing w:after="80" w:before="200"/>
      </w:pPr>
      <w:r>
        <w:rPr>
          <w:b/>
          <w:bCs/>
          <w:color w:val="13304D"/>
          <w:sz w:val="24"/>
          <w:szCs w:val="24"/>
        </w:rPr>
        <w:t xml:space="preserve">GC 18  Comprehensive Maintenance Contract (CMC)</w:t>
      </w:r>
    </w:p>
    <w:p>
      <w:pPr>
        <w:spacing w:after="100"/>
        <w:ind w:left="720" w:hanging="720"/>
        <w:jc w:val="both"/>
      </w:pPr>
      <w:r>
        <w:rPr>
          <w:b/>
          <w:bCs/>
          <w:color w:val="13304D"/>
          <w:sz w:val="20"/>
          <w:szCs w:val="20"/>
        </w:rPr>
        <w:t xml:space="preserve">GC 18.1	</w:t>
      </w:r>
      <w:r>
        <w:rPr>
          <w:sz w:val="20"/>
          <w:szCs w:val="20"/>
        </w:rPr>
        <w:t xml:space="preserve">The CMC runs for 5 years from the end of the warranty of each system and is priced per year in Appendix 2.</w:t>
      </w:r>
    </w:p>
    <w:p>
      <w:pPr>
        <w:spacing w:after="100"/>
        <w:ind w:left="720" w:hanging="720"/>
        <w:jc w:val="both"/>
      </w:pPr>
      <w:r>
        <w:rPr>
          <w:b/>
          <w:bCs/>
          <w:color w:val="13304D"/>
          <w:sz w:val="20"/>
          <w:szCs w:val="20"/>
        </w:rPr>
        <w:t xml:space="preserve">GC 18.2	</w:t>
      </w:r>
      <w:r>
        <w:rPr>
          <w:sz w:val="20"/>
          <w:szCs w:val="20"/>
        </w:rPr>
        <w:t xml:space="preserve">CMC prices may be escalated annually by the lower of the national CPI change and 3%.</w:t>
      </w:r>
    </w:p>
    <w:p>
      <w:pPr>
        <w:spacing w:after="100"/>
        <w:ind w:left="720" w:hanging="720"/>
        <w:jc w:val="both"/>
      </w:pPr>
      <w:r>
        <w:rPr>
          <w:b/>
          <w:bCs/>
          <w:color w:val="13304D"/>
          <w:sz w:val="20"/>
          <w:szCs w:val="20"/>
        </w:rPr>
        <w:t xml:space="preserve">GC 18.3	</w:t>
      </w:r>
      <w:r>
        <w:rPr>
          <w:sz w:val="20"/>
          <w:szCs w:val="20"/>
        </w:rPr>
        <w:t xml:space="preserve">Availability penalties under Appendix 3 apply during the warranty and the CMC.</w:t>
      </w:r>
    </w:p>
    <w:p>
      <w:r>
        <w:br w:type="page"/>
      </w:r>
    </w:p>
    <w:p>
      <w:pPr>
        <w:pStyle w:val="Heading1"/>
        <w:spacing w:after="120" w:before="240"/>
      </w:pPr>
      <w:r>
        <w:rPr>
          <w:b/>
          <w:bCs/>
          <w:color w:val="13304D"/>
          <w:sz w:val="30"/>
          <w:szCs w:val="30"/>
        </w:rPr>
        <w:t xml:space="preserve">Part B — Special Conditions (SC)</w:t>
      </w:r>
    </w:p>
    <w:p>
      <w:pPr>
        <w:spacing w:after="100"/>
        <w:jc w:val="both"/>
      </w:pPr>
      <w:r>
        <w:rPr>
          <w:sz w:val="20"/>
          <w:szCs w:val="20"/>
        </w:rPr>
        <w:t xml:space="preserve">The following provisions amend the General Conditions (GC 1.3).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1083"/>
        <w:gridCol w:w="7040"/>
      </w:tblGrid>
      <w:tr>
        <w:trPr>
          <w:tblHeader/>
        </w:trPr>
        <w:tc>
          <w:tcPr>
            <w:tcW w:type="pct" w:w="500"/>
            <w:shd w:fill="13304D" w:color="auto" w:val="clear"/>
            <w:tcMar>
              <w:top w:type="dxa" w:w="60"/>
              <w:left w:type="dxa" w:w="100"/>
              <w:bottom w:type="dxa" w:w="60"/>
              <w:right w:type="dxa" w:w="100"/>
            </w:tcMar>
          </w:tcPr>
          <w:p>
            <w:r>
              <w:rPr>
                <w:b/>
                <w:bCs/>
                <w:color w:val="FFFFFF"/>
                <w:sz w:val="18"/>
                <w:szCs w:val="18"/>
              </w:rPr>
              <w:t xml:space="preserve">SC</w:t>
            </w:r>
          </w:p>
        </w:tc>
        <w:tc>
          <w:tcPr>
            <w:tcW w:type="pct" w:w="600"/>
            <w:shd w:fill="13304D" w:color="auto" w:val="clear"/>
            <w:tcMar>
              <w:top w:type="dxa" w:w="60"/>
              <w:left w:type="dxa" w:w="100"/>
              <w:bottom w:type="dxa" w:w="60"/>
              <w:right w:type="dxa" w:w="100"/>
            </w:tcMar>
          </w:tcPr>
          <w:p>
            <w:r>
              <w:rPr>
                <w:b/>
                <w:bCs/>
                <w:color w:val="FFFFFF"/>
                <w:sz w:val="18"/>
                <w:szCs w:val="18"/>
              </w:rPr>
              <w:t xml:space="preserve">Amends</w:t>
            </w:r>
          </w:p>
        </w:tc>
        <w:tc>
          <w:tcPr>
            <w:tcW w:type="pct" w:w="3900"/>
            <w:shd w:fill="13304D" w:color="auto" w:val="clear"/>
            <w:tcMar>
              <w:top w:type="dxa" w:w="60"/>
              <w:left w:type="dxa" w:w="100"/>
              <w:bottom w:type="dxa" w:w="60"/>
              <w:right w:type="dxa" w:w="100"/>
            </w:tcMar>
          </w:tcPr>
          <w:p>
            <w:r>
              <w:rPr>
                <w:b/>
                <w:bCs/>
                <w:color w:val="FFFFFF"/>
                <w:sz w:val="18"/>
                <w:szCs w:val="18"/>
              </w:rPr>
              <w:t xml:space="preserve">Provision</w:t>
            </w:r>
          </w:p>
        </w:tc>
      </w:tr>
      <w:tr>
        <w:tc>
          <w:tcPr>
            <w:tcW w:type="pct" w:w="500"/>
            <w:tcMar>
              <w:top w:type="dxa" w:w="60"/>
              <w:left w:type="dxa" w:w="100"/>
              <w:bottom w:type="dxa" w:w="60"/>
              <w:right w:type="dxa" w:w="100"/>
            </w:tcMar>
          </w:tcPr>
          <w:p>
            <w:r>
              <w:rPr>
                <w:b w:val="false"/>
                <w:bCs w:val="false"/>
                <w:color w:val="1B2733"/>
                <w:sz w:val="18"/>
                <w:szCs w:val="18"/>
              </w:rPr>
              <w:t xml:space="preserve">SC 5.1</w:t>
            </w:r>
          </w:p>
        </w:tc>
        <w:tc>
          <w:tcPr>
            <w:tcW w:type="pct" w:w="600"/>
            <w:tcMar>
              <w:top w:type="dxa" w:w="60"/>
              <w:left w:type="dxa" w:w="100"/>
              <w:bottom w:type="dxa" w:w="60"/>
              <w:right w:type="dxa" w:w="100"/>
            </w:tcMar>
          </w:tcPr>
          <w:p>
            <w:r>
              <w:rPr>
                <w:b w:val="false"/>
                <w:bCs w:val="false"/>
                <w:color w:val="1B2733"/>
                <w:sz w:val="18"/>
                <w:szCs w:val="18"/>
              </w:rPr>
              <w:t xml:space="preserve">GC 5.1</w:t>
            </w:r>
          </w:p>
        </w:tc>
        <w:tc>
          <w:tcPr>
            <w:tcW w:type="pct" w:w="3900"/>
            <w:tcMar>
              <w:top w:type="dxa" w:w="60"/>
              <w:left w:type="dxa" w:w="100"/>
              <w:bottom w:type="dxa" w:w="60"/>
              <w:right w:type="dxa" w:w="100"/>
            </w:tcMar>
          </w:tcPr>
          <w:p>
            <w:r>
              <w:rPr>
                <w:b w:val="false"/>
                <w:bCs w:val="false"/>
                <w:color w:val="1B2733"/>
                <w:sz w:val="18"/>
                <w:szCs w:val="18"/>
              </w:rPr>
              <w:t xml:space="preserve">Payment milestones are those of Appendix 1 (10% / 60% / 20% / 10%). No other payment terms are accepted.</w:t>
            </w:r>
          </w:p>
        </w:tc>
      </w:tr>
      <w:tr>
        <w:tc>
          <w:tcPr>
            <w:tcW w:type="pct" w:w="500"/>
            <w:tcMar>
              <w:top w:type="dxa" w:w="60"/>
              <w:left w:type="dxa" w:w="100"/>
              <w:bottom w:type="dxa" w:w="60"/>
              <w:right w:type="dxa" w:w="100"/>
            </w:tcMar>
          </w:tcPr>
          <w:p>
            <w:r>
              <w:rPr>
                <w:b w:val="false"/>
                <w:bCs w:val="false"/>
                <w:color w:val="1B2733"/>
                <w:sz w:val="18"/>
                <w:szCs w:val="18"/>
              </w:rPr>
              <w:t xml:space="preserve">SC 7.1</w:t>
            </w:r>
          </w:p>
        </w:tc>
        <w:tc>
          <w:tcPr>
            <w:tcW w:type="pct" w:w="600"/>
            <w:tcMar>
              <w:top w:type="dxa" w:w="60"/>
              <w:left w:type="dxa" w:w="100"/>
              <w:bottom w:type="dxa" w:w="60"/>
              <w:right w:type="dxa" w:w="100"/>
            </w:tcMar>
          </w:tcPr>
          <w:p>
            <w:r>
              <w:rPr>
                <w:b w:val="false"/>
                <w:bCs w:val="false"/>
                <w:color w:val="1B2733"/>
                <w:sz w:val="18"/>
                <w:szCs w:val="18"/>
              </w:rPr>
              <w:t xml:space="preserve">GC 7.2</w:t>
            </w:r>
          </w:p>
        </w:tc>
        <w:tc>
          <w:tcPr>
            <w:tcW w:type="pct" w:w="3900"/>
            <w:tcMar>
              <w:top w:type="dxa" w:w="60"/>
              <w:left w:type="dxa" w:w="100"/>
              <w:bottom w:type="dxa" w:w="60"/>
              <w:right w:type="dxa" w:w="100"/>
            </w:tcMar>
          </w:tcPr>
          <w:p>
            <w:r>
              <w:rPr>
                <w:b w:val="false"/>
                <w:bCs w:val="false"/>
                <w:color w:val="1B2733"/>
                <w:sz w:val="18"/>
                <w:szCs w:val="18"/>
              </w:rPr>
              <w:t xml:space="preserve">Delay damages are 0.1% of the price of the delayed system per day, up to a maximum of 10% of the Contract Price.</w:t>
            </w:r>
          </w:p>
        </w:tc>
      </w:tr>
      <w:tr>
        <w:tc>
          <w:tcPr>
            <w:tcW w:type="pct" w:w="500"/>
            <w:tcMar>
              <w:top w:type="dxa" w:w="60"/>
              <w:left w:type="dxa" w:w="100"/>
              <w:bottom w:type="dxa" w:w="60"/>
              <w:right w:type="dxa" w:w="100"/>
            </w:tcMar>
          </w:tcPr>
          <w:p>
            <w:r>
              <w:rPr>
                <w:b w:val="false"/>
                <w:bCs w:val="false"/>
                <w:color w:val="1B2733"/>
                <w:sz w:val="18"/>
                <w:szCs w:val="18"/>
              </w:rPr>
              <w:t xml:space="preserve">SC 7.2</w:t>
            </w:r>
          </w:p>
        </w:tc>
        <w:tc>
          <w:tcPr>
            <w:tcW w:type="pct" w:w="600"/>
            <w:tcMar>
              <w:top w:type="dxa" w:w="60"/>
              <w:left w:type="dxa" w:w="100"/>
              <w:bottom w:type="dxa" w:w="60"/>
              <w:right w:type="dxa" w:w="100"/>
            </w:tcMar>
          </w:tcPr>
          <w:p>
            <w:r>
              <w:rPr>
                <w:b w:val="false"/>
                <w:bCs w:val="false"/>
                <w:color w:val="1B2733"/>
                <w:sz w:val="18"/>
                <w:szCs w:val="18"/>
              </w:rPr>
              <w:t xml:space="preserve">GC 7.1</w:t>
            </w:r>
          </w:p>
        </w:tc>
        <w:tc>
          <w:tcPr>
            <w:tcW w:type="pct" w:w="3900"/>
            <w:tcMar>
              <w:top w:type="dxa" w:w="60"/>
              <w:left w:type="dxa" w:w="100"/>
              <w:bottom w:type="dxa" w:w="60"/>
              <w:right w:type="dxa" w:w="100"/>
            </w:tcMar>
          </w:tcPr>
          <w:p>
            <w:r>
              <w:rPr>
                <w:b w:val="false"/>
                <w:bCs w:val="false"/>
                <w:color w:val="1B2733"/>
                <w:sz w:val="18"/>
                <w:szCs w:val="18"/>
              </w:rPr>
              <w:t xml:space="preserve">Milestone: T1 Gate A system in trial operation by the end of month 6. Delay damages at 0.05% per day apply to this milestone (counted toward the 10% cap).</w:t>
            </w:r>
          </w:p>
        </w:tc>
      </w:tr>
      <w:tr>
        <w:tc>
          <w:tcPr>
            <w:tcW w:type="pct" w:w="500"/>
            <w:tcMar>
              <w:top w:type="dxa" w:w="60"/>
              <w:left w:type="dxa" w:w="100"/>
              <w:bottom w:type="dxa" w:w="60"/>
              <w:right w:type="dxa" w:w="100"/>
            </w:tcMar>
          </w:tcPr>
          <w:p>
            <w:r>
              <w:rPr>
                <w:b w:val="false"/>
                <w:bCs w:val="false"/>
                <w:color w:val="1B2733"/>
                <w:sz w:val="18"/>
                <w:szCs w:val="18"/>
              </w:rPr>
              <w:t xml:space="preserve">SC 9.2</w:t>
            </w:r>
          </w:p>
        </w:tc>
        <w:tc>
          <w:tcPr>
            <w:tcW w:type="pct" w:w="600"/>
            <w:tcMar>
              <w:top w:type="dxa" w:w="60"/>
              <w:left w:type="dxa" w:w="100"/>
              <w:bottom w:type="dxa" w:w="60"/>
              <w:right w:type="dxa" w:w="100"/>
            </w:tcMar>
          </w:tcPr>
          <w:p>
            <w:r>
              <w:rPr>
                <w:b w:val="false"/>
                <w:bCs w:val="false"/>
                <w:color w:val="1B2733"/>
                <w:sz w:val="18"/>
                <w:szCs w:val="18"/>
              </w:rPr>
              <w:t xml:space="preserve">GC 9.1</w:t>
            </w:r>
          </w:p>
        </w:tc>
        <w:tc>
          <w:tcPr>
            <w:tcW w:type="pct" w:w="3900"/>
            <w:tcMar>
              <w:top w:type="dxa" w:w="60"/>
              <w:left w:type="dxa" w:w="100"/>
              <w:bottom w:type="dxa" w:w="60"/>
              <w:right w:type="dxa" w:w="100"/>
            </w:tcMar>
          </w:tcPr>
          <w:p>
            <w:r>
              <w:rPr>
                <w:b w:val="false"/>
                <w:bCs w:val="false"/>
                <w:color w:val="1B2733"/>
                <w:sz w:val="18"/>
                <w:szCs w:val="18"/>
              </w:rPr>
              <w:t xml:space="preserve">Workstations, servers, storage and network equipment: warranty of 36 months from PAC (instead of 24 months).</w:t>
            </w:r>
          </w:p>
        </w:tc>
      </w:tr>
      <w:tr>
        <w:tc>
          <w:tcPr>
            <w:tcW w:type="pct" w:w="500"/>
            <w:tcMar>
              <w:top w:type="dxa" w:w="60"/>
              <w:left w:type="dxa" w:w="100"/>
              <w:bottom w:type="dxa" w:w="60"/>
              <w:right w:type="dxa" w:w="100"/>
            </w:tcMar>
          </w:tcPr>
          <w:p>
            <w:r>
              <w:rPr>
                <w:b w:val="false"/>
                <w:bCs w:val="false"/>
                <w:color w:val="1B2733"/>
                <w:sz w:val="18"/>
                <w:szCs w:val="18"/>
              </w:rPr>
              <w:t xml:space="preserve">SC 10.1</w:t>
            </w:r>
          </w:p>
        </w:tc>
        <w:tc>
          <w:tcPr>
            <w:tcW w:type="pct" w:w="600"/>
            <w:tcMar>
              <w:top w:type="dxa" w:w="60"/>
              <w:left w:type="dxa" w:w="100"/>
              <w:bottom w:type="dxa" w:w="60"/>
              <w:right w:type="dxa" w:w="100"/>
            </w:tcMar>
          </w:tcPr>
          <w:p>
            <w:r>
              <w:rPr>
                <w:b w:val="false"/>
                <w:bCs w:val="false"/>
                <w:color w:val="1B2733"/>
                <w:sz w:val="18"/>
                <w:szCs w:val="18"/>
              </w:rPr>
              <w:t xml:space="preserve">GC 10.1</w:t>
            </w:r>
          </w:p>
        </w:tc>
        <w:tc>
          <w:tcPr>
            <w:tcW w:type="pct" w:w="3900"/>
            <w:tcMar>
              <w:top w:type="dxa" w:w="60"/>
              <w:left w:type="dxa" w:w="100"/>
              <w:bottom w:type="dxa" w:w="60"/>
              <w:right w:type="dxa" w:w="100"/>
            </w:tcMar>
          </w:tcPr>
          <w:p>
            <w:r>
              <w:rPr>
                <w:b w:val="false"/>
                <w:bCs w:val="false"/>
                <w:color w:val="1B2733"/>
                <w:sz w:val="18"/>
                <w:szCs w:val="18"/>
              </w:rPr>
              <w:t xml:space="preserve">The liability cap does not apply to: breach of confidentiality or data protection (GC 12), infringement of third-party intellectual property, gross negligence or wilful misconduct.</w:t>
            </w:r>
          </w:p>
        </w:tc>
      </w:tr>
      <w:tr>
        <w:tc>
          <w:tcPr>
            <w:tcW w:type="pct" w:w="500"/>
            <w:tcMar>
              <w:top w:type="dxa" w:w="60"/>
              <w:left w:type="dxa" w:w="100"/>
              <w:bottom w:type="dxa" w:w="60"/>
              <w:right w:type="dxa" w:w="100"/>
            </w:tcMar>
          </w:tcPr>
          <w:p>
            <w:r>
              <w:rPr>
                <w:b w:val="false"/>
                <w:bCs w:val="false"/>
                <w:color w:val="1B2733"/>
                <w:sz w:val="18"/>
                <w:szCs w:val="18"/>
              </w:rPr>
              <w:t xml:space="preserve">SC 18.2</w:t>
            </w:r>
          </w:p>
        </w:tc>
        <w:tc>
          <w:tcPr>
            <w:tcW w:type="pct" w:w="600"/>
            <w:tcMar>
              <w:top w:type="dxa" w:w="60"/>
              <w:left w:type="dxa" w:w="100"/>
              <w:bottom w:type="dxa" w:w="60"/>
              <w:right w:type="dxa" w:w="100"/>
            </w:tcMar>
          </w:tcPr>
          <w:p>
            <w:r>
              <w:rPr>
                <w:b w:val="false"/>
                <w:bCs w:val="false"/>
                <w:color w:val="1B2733"/>
                <w:sz w:val="18"/>
                <w:szCs w:val="18"/>
              </w:rPr>
              <w:t xml:space="preserve">GC 18.2</w:t>
            </w:r>
          </w:p>
        </w:tc>
        <w:tc>
          <w:tcPr>
            <w:tcW w:type="pct" w:w="3900"/>
            <w:tcMar>
              <w:top w:type="dxa" w:w="60"/>
              <w:left w:type="dxa" w:w="100"/>
              <w:bottom w:type="dxa" w:w="60"/>
              <w:right w:type="dxa" w:w="100"/>
            </w:tcMar>
          </w:tcPr>
          <w:p>
            <w:r>
              <w:rPr>
                <w:b w:val="false"/>
                <w:bCs w:val="false"/>
                <w:color w:val="1B2733"/>
                <w:sz w:val="18"/>
                <w:szCs w:val="18"/>
              </w:rPr>
              <w:t xml:space="preserve">CMC year 1 price is firm as bid. Escalation for years 2–5 is capped at 3% per year regardless of CPI.</w:t>
            </w:r>
          </w:p>
        </w:tc>
      </w:tr>
      <w:tr>
        <w:tc>
          <w:tcPr>
            <w:tcW w:type="pct" w:w="500"/>
            <w:tcMar>
              <w:top w:type="dxa" w:w="60"/>
              <w:left w:type="dxa" w:w="100"/>
              <w:bottom w:type="dxa" w:w="60"/>
              <w:right w:type="dxa" w:w="100"/>
            </w:tcMar>
          </w:tcPr>
          <w:p>
            <w:r>
              <w:rPr>
                <w:b w:val="false"/>
                <w:bCs w:val="false"/>
                <w:color w:val="1B2733"/>
                <w:sz w:val="18"/>
                <w:szCs w:val="18"/>
              </w:rPr>
              <w:t xml:space="preserve">SC 18.4</w:t>
            </w:r>
          </w:p>
        </w:tc>
        <w:tc>
          <w:tcPr>
            <w:tcW w:type="pct" w:w="600"/>
            <w:tcMar>
              <w:top w:type="dxa" w:w="60"/>
              <w:left w:type="dxa" w:w="100"/>
              <w:bottom w:type="dxa" w:w="60"/>
              <w:right w:type="dxa" w:w="100"/>
            </w:tcMar>
          </w:tcPr>
          <w:p>
            <w:r>
              <w:rPr>
                <w:b w:val="false"/>
                <w:bCs w:val="false"/>
                <w:color w:val="1B2733"/>
                <w:sz w:val="18"/>
                <w:szCs w:val="18"/>
              </w:rPr>
              <w:t xml:space="preserve">GC 18</w:t>
            </w:r>
          </w:p>
        </w:tc>
        <w:tc>
          <w:tcPr>
            <w:tcW w:type="pct" w:w="3900"/>
            <w:tcMar>
              <w:top w:type="dxa" w:w="60"/>
              <w:left w:type="dxa" w:w="100"/>
              <w:bottom w:type="dxa" w:w="60"/>
              <w:right w:type="dxa" w:w="100"/>
            </w:tcMar>
          </w:tcPr>
          <w:p>
            <w:r>
              <w:rPr>
                <w:b w:val="false"/>
                <w:bCs w:val="false"/>
                <w:color w:val="1B2733"/>
                <w:sz w:val="18"/>
                <w:szCs w:val="18"/>
              </w:rPr>
              <w:t xml:space="preserve">The CMC includes one complete replacement of the X-ray source per system during the 5-year CMC, if required to maintain specified performance.</w:t>
            </w:r>
          </w:p>
        </w:tc>
      </w:tr>
    </w:tbl>
    <w:p>
      <w:r>
        <w:br w:type="page"/>
      </w:r>
    </w:p>
    <w:p>
      <w:pPr>
        <w:pStyle w:val="Heading1"/>
        <w:spacing w:after="120" w:before="240"/>
      </w:pPr>
      <w:r>
        <w:rPr>
          <w:b/>
          <w:bCs/>
          <w:color w:val="13304D"/>
          <w:sz w:val="30"/>
          <w:szCs w:val="30"/>
        </w:rPr>
        <w:t xml:space="preserve">Appendix 1 — Payment milestones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722"/>
        <w:gridCol w:w="3430"/>
        <w:gridCol w:w="2888"/>
      </w:tblGrid>
      <w:tr>
        <w:trPr>
          <w:tblHeader/>
        </w:trPr>
        <w:tc>
          <w:tcPr>
            <w:tcW w:type="pct" w:w="1100"/>
            <w:shd w:fill="13304D" w:color="auto" w:val="clear"/>
            <w:tcMar>
              <w:top w:type="dxa" w:w="60"/>
              <w:left w:type="dxa" w:w="100"/>
              <w:bottom w:type="dxa" w:w="60"/>
              <w:right w:type="dxa" w:w="100"/>
            </w:tcMar>
          </w:tcPr>
          <w:p>
            <w:r>
              <w:rPr>
                <w:b/>
                <w:bCs/>
                <w:color w:val="FFFFFF"/>
                <w:sz w:val="18"/>
                <w:szCs w:val="18"/>
              </w:rPr>
              <w:t xml:space="preserve">Milestone</w:t>
            </w:r>
          </w:p>
        </w:tc>
        <w:tc>
          <w:tcPr>
            <w:tcW w:type="pct" w:w="400"/>
            <w:shd w:fill="13304D" w:color="auto" w:val="clear"/>
            <w:tcMar>
              <w:top w:type="dxa" w:w="60"/>
              <w:left w:type="dxa" w:w="100"/>
              <w:bottom w:type="dxa" w:w="60"/>
              <w:right w:type="dxa" w:w="100"/>
            </w:tcMar>
          </w:tcPr>
          <w:p>
            <w:r>
              <w:rPr>
                <w:b/>
                <w:bCs/>
                <w:color w:val="FFFFFF"/>
                <w:sz w:val="18"/>
                <w:szCs w:val="18"/>
              </w:rPr>
              <w:t xml:space="preserve">%</w:t>
            </w:r>
          </w:p>
        </w:tc>
        <w:tc>
          <w:tcPr>
            <w:tcW w:type="pct" w:w="1900"/>
            <w:shd w:fill="13304D" w:color="auto" w:val="clear"/>
            <w:tcMar>
              <w:top w:type="dxa" w:w="60"/>
              <w:left w:type="dxa" w:w="100"/>
              <w:bottom w:type="dxa" w:w="60"/>
              <w:right w:type="dxa" w:w="100"/>
            </w:tcMar>
          </w:tcPr>
          <w:p>
            <w:r>
              <w:rPr>
                <w:b/>
                <w:bCs/>
                <w:color w:val="FFFFFF"/>
                <w:sz w:val="18"/>
                <w:szCs w:val="18"/>
              </w:rPr>
              <w:t xml:space="preserve">Trigger</w:t>
            </w:r>
          </w:p>
        </w:tc>
        <w:tc>
          <w:tcPr>
            <w:tcW w:type="pct" w:w="1600"/>
            <w:shd w:fill="13304D" w:color="auto" w:val="clear"/>
            <w:tcMar>
              <w:top w:type="dxa" w:w="60"/>
              <w:left w:type="dxa" w:w="100"/>
              <w:bottom w:type="dxa" w:w="60"/>
              <w:right w:type="dxa" w:w="100"/>
            </w:tcMar>
          </w:tcPr>
          <w:p>
            <w:r>
              <w:rPr>
                <w:b/>
                <w:bCs/>
                <w:color w:val="FFFFFF"/>
                <w:sz w:val="18"/>
                <w:szCs w:val="18"/>
              </w:rPr>
              <w:t xml:space="preserve">Conditions</w:t>
            </w:r>
          </w:p>
        </w:tc>
      </w:tr>
      <w:tr>
        <w:tc>
          <w:tcPr>
            <w:tcW w:type="pct" w:w="1100"/>
            <w:tcMar>
              <w:top w:type="dxa" w:w="60"/>
              <w:left w:type="dxa" w:w="100"/>
              <w:bottom w:type="dxa" w:w="60"/>
              <w:right w:type="dxa" w:w="100"/>
            </w:tcMar>
          </w:tcPr>
          <w:p>
            <w:r>
              <w:rPr>
                <w:b w:val="false"/>
                <w:bCs w:val="false"/>
                <w:color w:val="1B2733"/>
                <w:sz w:val="18"/>
                <w:szCs w:val="18"/>
              </w:rPr>
              <w:t xml:space="preserve">Advance</w:t>
            </w:r>
          </w:p>
        </w:tc>
        <w:tc>
          <w:tcPr>
            <w:tcW w:type="pct" w:w="400"/>
            <w:tcMar>
              <w:top w:type="dxa" w:w="60"/>
              <w:left w:type="dxa" w:w="100"/>
              <w:bottom w:type="dxa" w:w="60"/>
              <w:right w:type="dxa" w:w="100"/>
            </w:tcMar>
          </w:tcPr>
          <w:p>
            <w:r>
              <w:rPr>
                <w:b w:val="false"/>
                <w:bCs w:val="false"/>
                <w:color w:val="1B2733"/>
                <w:sz w:val="18"/>
                <w:szCs w:val="18"/>
              </w:rPr>
              <w:t xml:space="preserve">10%</w:t>
            </w:r>
          </w:p>
        </w:tc>
        <w:tc>
          <w:tcPr>
            <w:tcW w:type="pct" w:w="1900"/>
            <w:tcMar>
              <w:top w:type="dxa" w:w="60"/>
              <w:left w:type="dxa" w:w="100"/>
              <w:bottom w:type="dxa" w:w="60"/>
              <w:right w:type="dxa" w:w="100"/>
            </w:tcMar>
          </w:tcPr>
          <w:p>
            <w:r>
              <w:rPr>
                <w:b w:val="false"/>
                <w:bCs w:val="false"/>
                <w:color w:val="1B2733"/>
                <w:sz w:val="18"/>
                <w:szCs w:val="18"/>
              </w:rPr>
              <w:t xml:space="preserve">Contract effectiveness</w:t>
            </w:r>
          </w:p>
        </w:tc>
        <w:tc>
          <w:tcPr>
            <w:tcW w:type="pct" w:w="1600"/>
            <w:tcMar>
              <w:top w:type="dxa" w:w="60"/>
              <w:left w:type="dxa" w:w="100"/>
              <w:bottom w:type="dxa" w:w="60"/>
              <w:right w:type="dxa" w:w="100"/>
            </w:tcMar>
          </w:tcPr>
          <w:p>
            <w:r>
              <w:rPr>
                <w:b w:val="false"/>
                <w:bCs w:val="false"/>
                <w:color w:val="1B2733"/>
                <w:sz w:val="18"/>
                <w:szCs w:val="18"/>
              </w:rPr>
              <w:t xml:space="preserve">Against Advance Payment Guarantee (GC 5.2)</w:t>
            </w:r>
          </w:p>
        </w:tc>
      </w:tr>
      <w:tr>
        <w:tc>
          <w:tcPr>
            <w:tcW w:type="pct" w:w="1100"/>
            <w:tcMar>
              <w:top w:type="dxa" w:w="60"/>
              <w:left w:type="dxa" w:w="100"/>
              <w:bottom w:type="dxa" w:w="60"/>
              <w:right w:type="dxa" w:w="100"/>
            </w:tcMar>
          </w:tcPr>
          <w:p>
            <w:r>
              <w:rPr>
                <w:b w:val="false"/>
                <w:bCs w:val="false"/>
                <w:color w:val="1B2733"/>
                <w:sz w:val="18"/>
                <w:szCs w:val="18"/>
              </w:rPr>
              <w:t xml:space="preserve">Delivery</w:t>
            </w:r>
          </w:p>
        </w:tc>
        <w:tc>
          <w:tcPr>
            <w:tcW w:type="pct" w:w="400"/>
            <w:tcMar>
              <w:top w:type="dxa" w:w="60"/>
              <w:left w:type="dxa" w:w="100"/>
              <w:bottom w:type="dxa" w:w="60"/>
              <w:right w:type="dxa" w:w="100"/>
            </w:tcMar>
          </w:tcPr>
          <w:p>
            <w:r>
              <w:rPr>
                <w:b w:val="false"/>
                <w:bCs w:val="false"/>
                <w:color w:val="1B2733"/>
                <w:sz w:val="18"/>
                <w:szCs w:val="18"/>
              </w:rPr>
              <w:t xml:space="preserve">60%</w:t>
            </w:r>
          </w:p>
        </w:tc>
        <w:tc>
          <w:tcPr>
            <w:tcW w:type="pct" w:w="1900"/>
            <w:tcMar>
              <w:top w:type="dxa" w:w="60"/>
              <w:left w:type="dxa" w:w="100"/>
              <w:bottom w:type="dxa" w:w="60"/>
              <w:right w:type="dxa" w:w="100"/>
            </w:tcMar>
          </w:tcPr>
          <w:p>
            <w:r>
              <w:rPr>
                <w:b w:val="false"/>
                <w:bCs w:val="false"/>
                <w:color w:val="1B2733"/>
                <w:sz w:val="18"/>
                <w:szCs w:val="18"/>
              </w:rPr>
              <w:t xml:space="preserve">Delivery of each system to site (pro rata to system price)</w:t>
            </w:r>
          </w:p>
        </w:tc>
        <w:tc>
          <w:tcPr>
            <w:tcW w:type="pct" w:w="1600"/>
            <w:tcMar>
              <w:top w:type="dxa" w:w="60"/>
              <w:left w:type="dxa" w:w="100"/>
              <w:bottom w:type="dxa" w:w="60"/>
              <w:right w:type="dxa" w:w="100"/>
            </w:tcMar>
          </w:tcPr>
          <w:p>
            <w:r>
              <w:rPr>
                <w:b w:val="false"/>
                <w:bCs w:val="false"/>
                <w:color w:val="1B2733"/>
                <w:sz w:val="18"/>
                <w:szCs w:val="18"/>
              </w:rPr>
              <w:t xml:space="preserve">Signed delivery note and inspection report</w:t>
            </w:r>
          </w:p>
        </w:tc>
      </w:tr>
      <w:tr>
        <w:tc>
          <w:tcPr>
            <w:tcW w:type="pct" w:w="1100"/>
            <w:tcMar>
              <w:top w:type="dxa" w:w="60"/>
              <w:left w:type="dxa" w:w="100"/>
              <w:bottom w:type="dxa" w:w="60"/>
              <w:right w:type="dxa" w:w="100"/>
            </w:tcMar>
          </w:tcPr>
          <w:p>
            <w:r>
              <w:rPr>
                <w:b w:val="false"/>
                <w:bCs w:val="false"/>
                <w:color w:val="1B2733"/>
                <w:sz w:val="18"/>
                <w:szCs w:val="18"/>
              </w:rPr>
              <w:t xml:space="preserve">Provisional acceptance</w:t>
            </w:r>
          </w:p>
        </w:tc>
        <w:tc>
          <w:tcPr>
            <w:tcW w:type="pct" w:w="400"/>
            <w:tcMar>
              <w:top w:type="dxa" w:w="60"/>
              <w:left w:type="dxa" w:w="100"/>
              <w:bottom w:type="dxa" w:w="60"/>
              <w:right w:type="dxa" w:w="100"/>
            </w:tcMar>
          </w:tcPr>
          <w:p>
            <w:r>
              <w:rPr>
                <w:b w:val="false"/>
                <w:bCs w:val="false"/>
                <w:color w:val="1B2733"/>
                <w:sz w:val="18"/>
                <w:szCs w:val="18"/>
              </w:rPr>
              <w:t xml:space="preserve">20%</w:t>
            </w:r>
          </w:p>
        </w:tc>
        <w:tc>
          <w:tcPr>
            <w:tcW w:type="pct" w:w="1900"/>
            <w:tcMar>
              <w:top w:type="dxa" w:w="60"/>
              <w:left w:type="dxa" w:w="100"/>
              <w:bottom w:type="dxa" w:w="60"/>
              <w:right w:type="dxa" w:w="100"/>
            </w:tcMar>
          </w:tcPr>
          <w:p>
            <w:r>
              <w:rPr>
                <w:b w:val="false"/>
                <w:bCs w:val="false"/>
                <w:color w:val="1B2733"/>
                <w:sz w:val="18"/>
                <w:szCs w:val="18"/>
              </w:rPr>
              <w:t xml:space="preserve">PAC of each system</w:t>
            </w:r>
          </w:p>
        </w:tc>
        <w:tc>
          <w:tcPr>
            <w:tcW w:type="pct" w:w="1600"/>
            <w:tcMar>
              <w:top w:type="dxa" w:w="60"/>
              <w:left w:type="dxa" w:w="100"/>
              <w:bottom w:type="dxa" w:w="60"/>
              <w:right w:type="dxa" w:w="100"/>
            </w:tcMar>
          </w:tcPr>
          <w:p>
            <w:r>
              <w:rPr>
                <w:b w:val="false"/>
                <w:bCs w:val="false"/>
                <w:color w:val="1B2733"/>
                <w:sz w:val="18"/>
                <w:szCs w:val="18"/>
              </w:rPr>
              <w:t xml:space="preserve">PAC certificate</w:t>
            </w:r>
          </w:p>
        </w:tc>
      </w:tr>
      <w:tr>
        <w:tc>
          <w:tcPr>
            <w:tcW w:type="pct" w:w="1100"/>
            <w:tcMar>
              <w:top w:type="dxa" w:w="60"/>
              <w:left w:type="dxa" w:w="100"/>
              <w:bottom w:type="dxa" w:w="60"/>
              <w:right w:type="dxa" w:w="100"/>
            </w:tcMar>
          </w:tcPr>
          <w:p>
            <w:r>
              <w:rPr>
                <w:b w:val="false"/>
                <w:bCs w:val="false"/>
                <w:color w:val="1B2733"/>
                <w:sz w:val="18"/>
                <w:szCs w:val="18"/>
              </w:rPr>
              <w:t xml:space="preserve">Final acceptance</w:t>
            </w:r>
          </w:p>
        </w:tc>
        <w:tc>
          <w:tcPr>
            <w:tcW w:type="pct" w:w="400"/>
            <w:tcMar>
              <w:top w:type="dxa" w:w="60"/>
              <w:left w:type="dxa" w:w="100"/>
              <w:bottom w:type="dxa" w:w="60"/>
              <w:right w:type="dxa" w:w="100"/>
            </w:tcMar>
          </w:tcPr>
          <w:p>
            <w:r>
              <w:rPr>
                <w:b w:val="false"/>
                <w:bCs w:val="false"/>
                <w:color w:val="1B2733"/>
                <w:sz w:val="18"/>
                <w:szCs w:val="18"/>
              </w:rPr>
              <w:t xml:space="preserve">10%</w:t>
            </w:r>
          </w:p>
        </w:tc>
        <w:tc>
          <w:tcPr>
            <w:tcW w:type="pct" w:w="1900"/>
            <w:tcMar>
              <w:top w:type="dxa" w:w="60"/>
              <w:left w:type="dxa" w:w="100"/>
              <w:bottom w:type="dxa" w:w="60"/>
              <w:right w:type="dxa" w:w="100"/>
            </w:tcMar>
          </w:tcPr>
          <w:p>
            <w:r>
              <w:rPr>
                <w:b w:val="false"/>
                <w:bCs w:val="false"/>
                <w:color w:val="1B2733"/>
                <w:sz w:val="18"/>
                <w:szCs w:val="18"/>
              </w:rPr>
              <w:t xml:space="preserve">FAC of each system</w:t>
            </w:r>
          </w:p>
        </w:tc>
        <w:tc>
          <w:tcPr>
            <w:tcW w:type="pct" w:w="1600"/>
            <w:tcMar>
              <w:top w:type="dxa" w:w="60"/>
              <w:left w:type="dxa" w:w="100"/>
              <w:bottom w:type="dxa" w:w="60"/>
              <w:right w:type="dxa" w:w="100"/>
            </w:tcMar>
          </w:tcPr>
          <w:p>
            <w:r>
              <w:rPr>
                <w:b w:val="false"/>
                <w:bCs w:val="false"/>
                <w:color w:val="1B2733"/>
                <w:sz w:val="18"/>
                <w:szCs w:val="18"/>
              </w:rPr>
              <w:t xml:space="preserve">FAC certificate</w:t>
            </w:r>
          </w:p>
        </w:tc>
      </w:tr>
    </w:tbl>
    <w:p>
      <w:pPr>
        <w:pStyle w:val="Heading1"/>
        <w:spacing w:after="120" w:before="240"/>
      </w:pPr>
      <w:r>
        <w:rPr>
          <w:b/>
          <w:bCs/>
          <w:color w:val="13304D"/>
          <w:sz w:val="30"/>
          <w:szCs w:val="30"/>
        </w:rPr>
        <w:t xml:space="preserve">Appendix 2 — Price schedule structure (Form F-5)</w:t>
      </w:r>
    </w:p>
    <w:p>
      <w:pPr>
        <w:spacing w:after="100"/>
        <w:jc w:val="both"/>
      </w:pPr>
      <w:r>
        <w:rPr>
          <w:sz w:val="20"/>
          <w:szCs w:val="20"/>
        </w:rPr>
        <w:t xml:space="preserve">Bidders shall price every line in USD, DDP site, excluding VAT. Do not add, remove or merge lines (RFP §2.4.3). Omitted lines are priced for evaluation at the highest price of other responsive bidders (RFP §7.3.2).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6318"/>
        <w:gridCol w:w="1083"/>
        <w:gridCol w:w="903"/>
      </w:tblGrid>
      <w:tr>
        <w:trPr>
          <w:tblHeader/>
        </w:trPr>
        <w:tc>
          <w:tcPr>
            <w:tcW w:type="pct" w:w="400"/>
            <w:shd w:fill="13304D" w:color="auto" w:val="clear"/>
            <w:tcMar>
              <w:top w:type="dxa" w:w="60"/>
              <w:left w:type="dxa" w:w="100"/>
              <w:bottom w:type="dxa" w:w="60"/>
              <w:right w:type="dxa" w:w="100"/>
            </w:tcMar>
          </w:tcPr>
          <w:p>
            <w:r>
              <w:rPr>
                <w:b/>
                <w:bCs/>
                <w:color w:val="FFFFFF"/>
                <w:sz w:val="18"/>
                <w:szCs w:val="18"/>
              </w:rPr>
              <w:t xml:space="preserve">Line</w:t>
            </w:r>
          </w:p>
        </w:tc>
        <w:tc>
          <w:tcPr>
            <w:tcW w:type="pct" w:w="3500"/>
            <w:shd w:fill="13304D" w:color="auto" w:val="clear"/>
            <w:tcMar>
              <w:top w:type="dxa" w:w="60"/>
              <w:left w:type="dxa" w:w="100"/>
              <w:bottom w:type="dxa" w:w="60"/>
              <w:right w:type="dxa" w:w="100"/>
            </w:tcMar>
          </w:tcPr>
          <w:p>
            <w:r>
              <w:rPr>
                <w:b/>
                <w:bCs/>
                <w:color w:val="FFFFFF"/>
                <w:sz w:val="18"/>
                <w:szCs w:val="18"/>
              </w:rPr>
              <w:t xml:space="preserve">Description</w:t>
            </w:r>
          </w:p>
        </w:tc>
        <w:tc>
          <w:tcPr>
            <w:tcW w:type="pct" w:w="600"/>
            <w:shd w:fill="13304D" w:color="auto" w:val="clear"/>
            <w:tcMar>
              <w:top w:type="dxa" w:w="60"/>
              <w:left w:type="dxa" w:w="100"/>
              <w:bottom w:type="dxa" w:w="60"/>
              <w:right w:type="dxa" w:w="100"/>
            </w:tcMar>
          </w:tcPr>
          <w:p>
            <w:r>
              <w:rPr>
                <w:b/>
                <w:bCs/>
                <w:color w:val="FFFFFF"/>
                <w:sz w:val="18"/>
                <w:szCs w:val="18"/>
              </w:rPr>
              <w:t xml:space="preserve">Qty</w:t>
            </w:r>
          </w:p>
        </w:tc>
        <w:tc>
          <w:tcPr>
            <w:tcW w:type="pct" w:w="500"/>
            <w:shd w:fill="13304D" w:color="auto" w:val="clear"/>
            <w:tcMar>
              <w:top w:type="dxa" w:w="60"/>
              <w:left w:type="dxa" w:w="100"/>
              <w:bottom w:type="dxa" w:w="60"/>
              <w:right w:type="dxa" w:w="100"/>
            </w:tcMar>
          </w:tcPr>
          <w:p>
            <w:r>
              <w:rPr>
                <w:b/>
                <w:bCs/>
                <w:color w:val="FFFFFF"/>
                <w:sz w:val="18"/>
                <w:szCs w:val="18"/>
              </w:rPr>
              <w:t xml:space="preserve">Unit</w:t>
            </w:r>
          </w:p>
        </w:tc>
      </w:tr>
      <w:tr>
        <w:tc>
          <w:tcPr>
            <w:tcW w:type="pct" w:w="400"/>
            <w:tcMar>
              <w:top w:type="dxa" w:w="60"/>
              <w:left w:type="dxa" w:w="100"/>
              <w:bottom w:type="dxa" w:w="60"/>
              <w:right w:type="dxa" w:w="100"/>
            </w:tcMar>
          </w:tcPr>
          <w:p>
            <w:r>
              <w:rPr>
                <w:b w:val="false"/>
                <w:bCs w:val="false"/>
                <w:color w:val="1B2733"/>
                <w:sz w:val="18"/>
                <w:szCs w:val="18"/>
              </w:rPr>
              <w:t xml:space="preserve">1.1</w:t>
            </w:r>
          </w:p>
        </w:tc>
        <w:tc>
          <w:tcPr>
            <w:tcW w:type="pct" w:w="3500"/>
            <w:tcMar>
              <w:top w:type="dxa" w:w="60"/>
              <w:left w:type="dxa" w:w="100"/>
              <w:bottom w:type="dxa" w:w="60"/>
              <w:right w:type="dxa" w:w="100"/>
            </w:tcMar>
          </w:tcPr>
          <w:p>
            <w:r>
              <w:rPr>
                <w:b w:val="false"/>
                <w:bCs w:val="false"/>
                <w:color w:val="1B2733"/>
                <w:sz w:val="18"/>
                <w:szCs w:val="18"/>
              </w:rPr>
              <w:t xml:space="preserve">High-energy drive-through system, T1 Gate A, incl. shielding and traffic control</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1.2</w:t>
            </w:r>
          </w:p>
        </w:tc>
        <w:tc>
          <w:tcPr>
            <w:tcW w:type="pct" w:w="3500"/>
            <w:tcMar>
              <w:top w:type="dxa" w:w="60"/>
              <w:left w:type="dxa" w:w="100"/>
              <w:bottom w:type="dxa" w:w="60"/>
              <w:right w:type="dxa" w:w="100"/>
            </w:tcMar>
          </w:tcPr>
          <w:p>
            <w:r>
              <w:rPr>
                <w:b w:val="false"/>
                <w:bCs w:val="false"/>
                <w:color w:val="1B2733"/>
                <w:sz w:val="18"/>
                <w:szCs w:val="18"/>
              </w:rPr>
              <w:t xml:space="preserve">High-energy drive-through system, T1 Gate B</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1.3</w:t>
            </w:r>
          </w:p>
        </w:tc>
        <w:tc>
          <w:tcPr>
            <w:tcW w:type="pct" w:w="3500"/>
            <w:tcMar>
              <w:top w:type="dxa" w:w="60"/>
              <w:left w:type="dxa" w:w="100"/>
              <w:bottom w:type="dxa" w:w="60"/>
              <w:right w:type="dxa" w:w="100"/>
            </w:tcMar>
          </w:tcPr>
          <w:p>
            <w:r>
              <w:rPr>
                <w:b w:val="false"/>
                <w:bCs w:val="false"/>
                <w:color w:val="1B2733"/>
                <w:sz w:val="18"/>
                <w:szCs w:val="18"/>
              </w:rPr>
              <w:t xml:space="preserve">High-energy drive-through system, T2 main gate</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1.4</w:t>
            </w:r>
          </w:p>
        </w:tc>
        <w:tc>
          <w:tcPr>
            <w:tcW w:type="pct" w:w="3500"/>
            <w:tcMar>
              <w:top w:type="dxa" w:w="60"/>
              <w:left w:type="dxa" w:w="100"/>
              <w:bottom w:type="dxa" w:w="60"/>
              <w:right w:type="dxa" w:w="100"/>
            </w:tcMar>
          </w:tcPr>
          <w:p>
            <w:r>
              <w:rPr>
                <w:b w:val="false"/>
                <w:bCs w:val="false"/>
                <w:color w:val="1B2733"/>
                <w:sz w:val="18"/>
                <w:szCs w:val="18"/>
              </w:rPr>
              <w:t xml:space="preserve">Relocatable high-energy system</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2.1</w:t>
            </w:r>
          </w:p>
        </w:tc>
        <w:tc>
          <w:tcPr>
            <w:tcW w:type="pct" w:w="3500"/>
            <w:tcMar>
              <w:top w:type="dxa" w:w="60"/>
              <w:left w:type="dxa" w:w="100"/>
              <w:bottom w:type="dxa" w:w="60"/>
              <w:right w:type="dxa" w:w="100"/>
            </w:tcMar>
          </w:tcPr>
          <w:p>
            <w:r>
              <w:rPr>
                <w:b w:val="false"/>
                <w:bCs w:val="false"/>
                <w:color w:val="1B2733"/>
                <w:sz w:val="18"/>
                <w:szCs w:val="18"/>
              </w:rPr>
              <w:t xml:space="preserve">CIAC image management and analysis platform, incl. licences</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2.2</w:t>
            </w:r>
          </w:p>
        </w:tc>
        <w:tc>
          <w:tcPr>
            <w:tcW w:type="pct" w:w="3500"/>
            <w:tcMar>
              <w:top w:type="dxa" w:w="60"/>
              <w:left w:type="dxa" w:w="100"/>
              <w:bottom w:type="dxa" w:w="60"/>
              <w:right w:type="dxa" w:w="100"/>
            </w:tcMar>
          </w:tcPr>
          <w:p>
            <w:r>
              <w:rPr>
                <w:b w:val="false"/>
                <w:bCs w:val="false"/>
                <w:color w:val="1B2733"/>
                <w:sz w:val="18"/>
                <w:szCs w:val="18"/>
              </w:rPr>
              <w:t xml:space="preserve">CIAC storage (state usable TB)</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2.3</w:t>
            </w:r>
          </w:p>
        </w:tc>
        <w:tc>
          <w:tcPr>
            <w:tcW w:type="pct" w:w="3500"/>
            <w:tcMar>
              <w:top w:type="dxa" w:w="60"/>
              <w:left w:type="dxa" w:w="100"/>
              <w:bottom w:type="dxa" w:w="60"/>
              <w:right w:type="dxa" w:w="100"/>
            </w:tcMar>
          </w:tcPr>
          <w:p>
            <w:r>
              <w:rPr>
                <w:b w:val="false"/>
                <w:bCs w:val="false"/>
                <w:color w:val="1B2733"/>
                <w:sz w:val="18"/>
                <w:szCs w:val="18"/>
              </w:rPr>
              <w:t xml:space="preserve">Operator/analyst workstations (dual 27", ≥ 2560×1440)</w:t>
            </w:r>
          </w:p>
        </w:tc>
        <w:tc>
          <w:tcPr>
            <w:tcW w:type="pct" w:w="600"/>
            <w:tcMar>
              <w:top w:type="dxa" w:w="60"/>
              <w:left w:type="dxa" w:w="100"/>
              <w:bottom w:type="dxa" w:w="60"/>
              <w:right w:type="dxa" w:w="100"/>
            </w:tcMar>
          </w:tcPr>
          <w:p>
            <w:r>
              <w:rPr>
                <w:b w:val="false"/>
                <w:bCs w:val="false"/>
                <w:color w:val="1B2733"/>
                <w:sz w:val="18"/>
                <w:szCs w:val="18"/>
              </w:rPr>
              <w:t xml:space="preserve">per Addenda</w:t>
            </w:r>
          </w:p>
        </w:tc>
        <w:tc>
          <w:tcPr>
            <w:tcW w:type="pct" w:w="500"/>
            <w:tcMar>
              <w:top w:type="dxa" w:w="60"/>
              <w:left w:type="dxa" w:w="100"/>
              <w:bottom w:type="dxa" w:w="60"/>
              <w:right w:type="dxa" w:w="100"/>
            </w:tcMar>
          </w:tcPr>
          <w:p>
            <w:r>
              <w:rPr>
                <w:b w:val="false"/>
                <w:bCs w:val="false"/>
                <w:color w:val="1B2733"/>
                <w:sz w:val="18"/>
                <w:szCs w:val="18"/>
              </w:rPr>
              <w:t xml:space="preserve">pcs</w:t>
            </w:r>
          </w:p>
        </w:tc>
      </w:tr>
      <w:tr>
        <w:tc>
          <w:tcPr>
            <w:tcW w:type="pct" w:w="400"/>
            <w:tcMar>
              <w:top w:type="dxa" w:w="60"/>
              <w:left w:type="dxa" w:w="100"/>
              <w:bottom w:type="dxa" w:w="60"/>
              <w:right w:type="dxa" w:w="100"/>
            </w:tcMar>
          </w:tcPr>
          <w:p>
            <w:r>
              <w:rPr>
                <w:b w:val="false"/>
                <w:bCs w:val="false"/>
                <w:color w:val="1B2733"/>
                <w:sz w:val="18"/>
                <w:szCs w:val="18"/>
              </w:rPr>
              <w:t xml:space="preserve">3.1</w:t>
            </w:r>
          </w:p>
        </w:tc>
        <w:tc>
          <w:tcPr>
            <w:tcW w:type="pct" w:w="3500"/>
            <w:tcMar>
              <w:top w:type="dxa" w:w="60"/>
              <w:left w:type="dxa" w:w="100"/>
              <w:bottom w:type="dxa" w:w="60"/>
              <w:right w:type="dxa" w:w="100"/>
            </w:tcMar>
          </w:tcPr>
          <w:p>
            <w:r>
              <w:rPr>
                <w:b w:val="false"/>
                <w:bCs w:val="false"/>
                <w:color w:val="1B2733"/>
                <w:sz w:val="18"/>
                <w:szCs w:val="18"/>
              </w:rPr>
              <w:t xml:space="preserve">Civil and building works, T1 (both gates)</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3.2</w:t>
            </w:r>
          </w:p>
        </w:tc>
        <w:tc>
          <w:tcPr>
            <w:tcW w:type="pct" w:w="3500"/>
            <w:tcMar>
              <w:top w:type="dxa" w:w="60"/>
              <w:left w:type="dxa" w:w="100"/>
              <w:bottom w:type="dxa" w:w="60"/>
              <w:right w:type="dxa" w:w="100"/>
            </w:tcMar>
          </w:tcPr>
          <w:p>
            <w:r>
              <w:rPr>
                <w:b w:val="false"/>
                <w:bCs w:val="false"/>
                <w:color w:val="1B2733"/>
                <w:sz w:val="18"/>
                <w:szCs w:val="18"/>
              </w:rPr>
              <w:t xml:space="preserve">Civil and building works, T2, incl. any power reinforcement</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4.1</w:t>
            </w:r>
          </w:p>
        </w:tc>
        <w:tc>
          <w:tcPr>
            <w:tcW w:type="pct" w:w="3500"/>
            <w:tcMar>
              <w:top w:type="dxa" w:w="60"/>
              <w:left w:type="dxa" w:w="100"/>
              <w:bottom w:type="dxa" w:w="60"/>
              <w:right w:type="dxa" w:w="100"/>
            </w:tcMar>
          </w:tcPr>
          <w:p>
            <w:r>
              <w:rPr>
                <w:b w:val="false"/>
                <w:bCs w:val="false"/>
                <w:color w:val="1B2733"/>
                <w:sz w:val="18"/>
                <w:szCs w:val="18"/>
              </w:rPr>
              <w:t xml:space="preserve">Integration: CRMS and TOS, incl. middleware</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4.2</w:t>
            </w:r>
          </w:p>
        </w:tc>
        <w:tc>
          <w:tcPr>
            <w:tcW w:type="pct" w:w="3500"/>
            <w:tcMar>
              <w:top w:type="dxa" w:w="60"/>
              <w:left w:type="dxa" w:w="100"/>
              <w:bottom w:type="dxa" w:w="60"/>
              <w:right w:type="dxa" w:w="100"/>
            </w:tcMar>
          </w:tcPr>
          <w:p>
            <w:r>
              <w:rPr>
                <w:b w:val="false"/>
                <w:bCs w:val="false"/>
                <w:color w:val="1B2733"/>
                <w:sz w:val="18"/>
                <w:szCs w:val="18"/>
              </w:rPr>
              <w:t xml:space="preserve">OCR (container and plates), all lanes</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5.1</w:t>
            </w:r>
          </w:p>
        </w:tc>
        <w:tc>
          <w:tcPr>
            <w:tcW w:type="pct" w:w="3500"/>
            <w:tcMar>
              <w:top w:type="dxa" w:w="60"/>
              <w:left w:type="dxa" w:w="100"/>
              <w:bottom w:type="dxa" w:w="60"/>
              <w:right w:type="dxa" w:w="100"/>
            </w:tcMar>
          </w:tcPr>
          <w:p>
            <w:r>
              <w:rPr>
                <w:b w:val="false"/>
                <w:bCs w:val="false"/>
                <w:color w:val="1B2733"/>
                <w:sz w:val="18"/>
                <w:szCs w:val="18"/>
              </w:rPr>
              <w:t xml:space="preserve">Training (RFP §5.3)</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5.2</w:t>
            </w:r>
          </w:p>
        </w:tc>
        <w:tc>
          <w:tcPr>
            <w:tcW w:type="pct" w:w="3500"/>
            <w:tcMar>
              <w:top w:type="dxa" w:w="60"/>
              <w:left w:type="dxa" w:w="100"/>
              <w:bottom w:type="dxa" w:w="60"/>
              <w:right w:type="dxa" w:w="100"/>
            </w:tcMar>
          </w:tcPr>
          <w:p>
            <w:r>
              <w:rPr>
                <w:b w:val="false"/>
                <w:bCs w:val="false"/>
                <w:color w:val="1B2733"/>
                <w:sz w:val="18"/>
                <w:szCs w:val="18"/>
              </w:rPr>
              <w:t xml:space="preserve">FAT witnessing: travel and accommodation for 4 persons</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6.1</w:t>
            </w:r>
          </w:p>
        </w:tc>
        <w:tc>
          <w:tcPr>
            <w:tcW w:type="pct" w:w="3500"/>
            <w:tcMar>
              <w:top w:type="dxa" w:w="60"/>
              <w:left w:type="dxa" w:w="100"/>
              <w:bottom w:type="dxa" w:w="60"/>
              <w:right w:type="dxa" w:w="100"/>
            </w:tcMar>
          </w:tcPr>
          <w:p>
            <w:r>
              <w:rPr>
                <w:b w:val="false"/>
                <w:bCs w:val="false"/>
                <w:color w:val="1B2733"/>
                <w:sz w:val="18"/>
                <w:szCs w:val="18"/>
              </w:rPr>
              <w:t xml:space="preserve">Radiation licensing support (RFP §4.3.3–4.3.4)</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7.1</w:t>
            </w:r>
          </w:p>
        </w:tc>
        <w:tc>
          <w:tcPr>
            <w:tcW w:type="pct" w:w="3500"/>
            <w:tcMar>
              <w:top w:type="dxa" w:w="60"/>
              <w:left w:type="dxa" w:w="100"/>
              <w:bottom w:type="dxa" w:w="60"/>
              <w:right w:type="dxa" w:w="100"/>
            </w:tcMar>
          </w:tcPr>
          <w:p>
            <w:r>
              <w:rPr>
                <w:b w:val="false"/>
                <w:bCs w:val="false"/>
                <w:color w:val="1B2733"/>
                <w:sz w:val="18"/>
                <w:szCs w:val="18"/>
              </w:rPr>
              <w:t xml:space="preserve">Initial in-country stock of critical spare parts</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lot</w:t>
            </w:r>
          </w:p>
        </w:tc>
      </w:tr>
      <w:tr>
        <w:tc>
          <w:tcPr>
            <w:tcW w:type="pct" w:w="400"/>
            <w:tcMar>
              <w:top w:type="dxa" w:w="60"/>
              <w:left w:type="dxa" w:w="100"/>
              <w:bottom w:type="dxa" w:w="60"/>
              <w:right w:type="dxa" w:w="100"/>
            </w:tcMar>
          </w:tcPr>
          <w:p>
            <w:r>
              <w:rPr>
                <w:b w:val="false"/>
                <w:bCs w:val="false"/>
                <w:color w:val="1B2733"/>
                <w:sz w:val="18"/>
                <w:szCs w:val="18"/>
              </w:rPr>
              <w:t xml:space="preserve"/>
            </w:r>
          </w:p>
        </w:tc>
        <w:tc>
          <w:tcPr>
            <w:tcW w:type="pct" w:w="3500"/>
            <w:tcMar>
              <w:top w:type="dxa" w:w="60"/>
              <w:left w:type="dxa" w:w="100"/>
              <w:bottom w:type="dxa" w:w="60"/>
              <w:right w:type="dxa" w:w="100"/>
            </w:tcMar>
          </w:tcPr>
          <w:p>
            <w:r>
              <w:rPr>
                <w:b w:val="false"/>
                <w:bCs w:val="false"/>
                <w:color w:val="1B2733"/>
                <w:sz w:val="18"/>
                <w:szCs w:val="18"/>
              </w:rPr>
              <w:t xml:space="preserve">TOTAL CAPEX</w:t>
            </w:r>
          </w:p>
        </w:tc>
        <w:tc>
          <w:tcPr>
            <w:tcW w:type="pct" w:w="600"/>
            <w:tcMar>
              <w:top w:type="dxa" w:w="60"/>
              <w:left w:type="dxa" w:w="100"/>
              <w:bottom w:type="dxa" w:w="60"/>
              <w:right w:type="dxa" w:w="100"/>
            </w:tcMar>
          </w:tcPr>
          <w:p>
            <w:r>
              <w:rPr>
                <w:b w:val="false"/>
                <w:bCs w:val="false"/>
                <w:color w:val="1B2733"/>
                <w:sz w:val="18"/>
                <w:szCs w:val="18"/>
              </w:rPr>
              <w:t xml:space="preserve"/>
            </w:r>
          </w:p>
        </w:tc>
        <w:tc>
          <w:tcPr>
            <w:tcW w:type="pct" w:w="500"/>
            <w:tcMar>
              <w:top w:type="dxa" w:w="60"/>
              <w:left w:type="dxa" w:w="100"/>
              <w:bottom w:type="dxa" w:w="60"/>
              <w:right w:type="dxa" w:w="100"/>
            </w:tcMar>
          </w:tcPr>
          <w:p>
            <w:r>
              <w:rPr>
                <w:b w:val="false"/>
                <w:bCs w:val="false"/>
                <w:color w:val="1B2733"/>
                <w:sz w:val="18"/>
                <w:szCs w:val="18"/>
              </w:rPr>
              <w:t xml:space="preserve"/>
            </w:r>
          </w:p>
        </w:tc>
      </w:tr>
      <w:tr>
        <w:tc>
          <w:tcPr>
            <w:tcW w:type="pct" w:w="400"/>
            <w:tcMar>
              <w:top w:type="dxa" w:w="60"/>
              <w:left w:type="dxa" w:w="100"/>
              <w:bottom w:type="dxa" w:w="60"/>
              <w:right w:type="dxa" w:w="100"/>
            </w:tcMar>
          </w:tcPr>
          <w:p>
            <w:r>
              <w:rPr>
                <w:b w:val="false"/>
                <w:bCs w:val="false"/>
                <w:color w:val="1B2733"/>
                <w:sz w:val="18"/>
                <w:szCs w:val="18"/>
              </w:rPr>
              <w:t xml:space="preserve">8.1</w:t>
            </w:r>
          </w:p>
        </w:tc>
        <w:tc>
          <w:tcPr>
            <w:tcW w:type="pct" w:w="3500"/>
            <w:tcMar>
              <w:top w:type="dxa" w:w="60"/>
              <w:left w:type="dxa" w:w="100"/>
              <w:bottom w:type="dxa" w:w="60"/>
              <w:right w:type="dxa" w:w="100"/>
            </w:tcMar>
          </w:tcPr>
          <w:p>
            <w:r>
              <w:rPr>
                <w:b w:val="false"/>
                <w:bCs w:val="false"/>
                <w:color w:val="1B2733"/>
                <w:sz w:val="18"/>
                <w:szCs w:val="18"/>
              </w:rPr>
              <w:t xml:space="preserve">CMC year 1</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year</w:t>
            </w:r>
          </w:p>
        </w:tc>
      </w:tr>
      <w:tr>
        <w:tc>
          <w:tcPr>
            <w:tcW w:type="pct" w:w="400"/>
            <w:tcMar>
              <w:top w:type="dxa" w:w="60"/>
              <w:left w:type="dxa" w:w="100"/>
              <w:bottom w:type="dxa" w:w="60"/>
              <w:right w:type="dxa" w:w="100"/>
            </w:tcMar>
          </w:tcPr>
          <w:p>
            <w:r>
              <w:rPr>
                <w:b w:val="false"/>
                <w:bCs w:val="false"/>
                <w:color w:val="1B2733"/>
                <w:sz w:val="18"/>
                <w:szCs w:val="18"/>
              </w:rPr>
              <w:t xml:space="preserve">8.2</w:t>
            </w:r>
          </w:p>
        </w:tc>
        <w:tc>
          <w:tcPr>
            <w:tcW w:type="pct" w:w="3500"/>
            <w:tcMar>
              <w:top w:type="dxa" w:w="60"/>
              <w:left w:type="dxa" w:w="100"/>
              <w:bottom w:type="dxa" w:w="60"/>
              <w:right w:type="dxa" w:w="100"/>
            </w:tcMar>
          </w:tcPr>
          <w:p>
            <w:r>
              <w:rPr>
                <w:b w:val="false"/>
                <w:bCs w:val="false"/>
                <w:color w:val="1B2733"/>
                <w:sz w:val="18"/>
                <w:szCs w:val="18"/>
              </w:rPr>
              <w:t xml:space="preserve">CMC year 2</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year</w:t>
            </w:r>
          </w:p>
        </w:tc>
      </w:tr>
      <w:tr>
        <w:tc>
          <w:tcPr>
            <w:tcW w:type="pct" w:w="400"/>
            <w:tcMar>
              <w:top w:type="dxa" w:w="60"/>
              <w:left w:type="dxa" w:w="100"/>
              <w:bottom w:type="dxa" w:w="60"/>
              <w:right w:type="dxa" w:w="100"/>
            </w:tcMar>
          </w:tcPr>
          <w:p>
            <w:r>
              <w:rPr>
                <w:b w:val="false"/>
                <w:bCs w:val="false"/>
                <w:color w:val="1B2733"/>
                <w:sz w:val="18"/>
                <w:szCs w:val="18"/>
              </w:rPr>
              <w:t xml:space="preserve">8.3</w:t>
            </w:r>
          </w:p>
        </w:tc>
        <w:tc>
          <w:tcPr>
            <w:tcW w:type="pct" w:w="3500"/>
            <w:tcMar>
              <w:top w:type="dxa" w:w="60"/>
              <w:left w:type="dxa" w:w="100"/>
              <w:bottom w:type="dxa" w:w="60"/>
              <w:right w:type="dxa" w:w="100"/>
            </w:tcMar>
          </w:tcPr>
          <w:p>
            <w:r>
              <w:rPr>
                <w:b w:val="false"/>
                <w:bCs w:val="false"/>
                <w:color w:val="1B2733"/>
                <w:sz w:val="18"/>
                <w:szCs w:val="18"/>
              </w:rPr>
              <w:t xml:space="preserve">CMC year 3</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year</w:t>
            </w:r>
          </w:p>
        </w:tc>
      </w:tr>
      <w:tr>
        <w:tc>
          <w:tcPr>
            <w:tcW w:type="pct" w:w="400"/>
            <w:tcMar>
              <w:top w:type="dxa" w:w="60"/>
              <w:left w:type="dxa" w:w="100"/>
              <w:bottom w:type="dxa" w:w="60"/>
              <w:right w:type="dxa" w:w="100"/>
            </w:tcMar>
          </w:tcPr>
          <w:p>
            <w:r>
              <w:rPr>
                <w:b w:val="false"/>
                <w:bCs w:val="false"/>
                <w:color w:val="1B2733"/>
                <w:sz w:val="18"/>
                <w:szCs w:val="18"/>
              </w:rPr>
              <w:t xml:space="preserve">8.4</w:t>
            </w:r>
          </w:p>
        </w:tc>
        <w:tc>
          <w:tcPr>
            <w:tcW w:type="pct" w:w="3500"/>
            <w:tcMar>
              <w:top w:type="dxa" w:w="60"/>
              <w:left w:type="dxa" w:w="100"/>
              <w:bottom w:type="dxa" w:w="60"/>
              <w:right w:type="dxa" w:w="100"/>
            </w:tcMar>
          </w:tcPr>
          <w:p>
            <w:r>
              <w:rPr>
                <w:b w:val="false"/>
                <w:bCs w:val="false"/>
                <w:color w:val="1B2733"/>
                <w:sz w:val="18"/>
                <w:szCs w:val="18"/>
              </w:rPr>
              <w:t xml:space="preserve">CMC year 4</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year</w:t>
            </w:r>
          </w:p>
        </w:tc>
      </w:tr>
      <w:tr>
        <w:tc>
          <w:tcPr>
            <w:tcW w:type="pct" w:w="400"/>
            <w:tcMar>
              <w:top w:type="dxa" w:w="60"/>
              <w:left w:type="dxa" w:w="100"/>
              <w:bottom w:type="dxa" w:w="60"/>
              <w:right w:type="dxa" w:w="100"/>
            </w:tcMar>
          </w:tcPr>
          <w:p>
            <w:r>
              <w:rPr>
                <w:b w:val="false"/>
                <w:bCs w:val="false"/>
                <w:color w:val="1B2733"/>
                <w:sz w:val="18"/>
                <w:szCs w:val="18"/>
              </w:rPr>
              <w:t xml:space="preserve">8.5</w:t>
            </w:r>
          </w:p>
        </w:tc>
        <w:tc>
          <w:tcPr>
            <w:tcW w:type="pct" w:w="3500"/>
            <w:tcMar>
              <w:top w:type="dxa" w:w="60"/>
              <w:left w:type="dxa" w:w="100"/>
              <w:bottom w:type="dxa" w:w="60"/>
              <w:right w:type="dxa" w:w="100"/>
            </w:tcMar>
          </w:tcPr>
          <w:p>
            <w:r>
              <w:rPr>
                <w:b w:val="false"/>
                <w:bCs w:val="false"/>
                <w:color w:val="1B2733"/>
                <w:sz w:val="18"/>
                <w:szCs w:val="18"/>
              </w:rPr>
              <w:t xml:space="preserve">CMC year 5</w:t>
            </w:r>
          </w:p>
        </w:tc>
        <w:tc>
          <w:tcPr>
            <w:tcW w:type="pct" w:w="600"/>
            <w:tcMar>
              <w:top w:type="dxa" w:w="60"/>
              <w:left w:type="dxa" w:w="100"/>
              <w:bottom w:type="dxa" w:w="60"/>
              <w:right w:type="dxa" w:w="100"/>
            </w:tcMar>
          </w:tcPr>
          <w:p>
            <w:r>
              <w:rPr>
                <w:b w:val="false"/>
                <w:bCs w:val="false"/>
                <w:color w:val="1B2733"/>
                <w:sz w:val="18"/>
                <w:szCs w:val="18"/>
              </w:rPr>
              <w:t xml:space="preserve">1</w:t>
            </w:r>
          </w:p>
        </w:tc>
        <w:tc>
          <w:tcPr>
            <w:tcW w:type="pct" w:w="500"/>
            <w:tcMar>
              <w:top w:type="dxa" w:w="60"/>
              <w:left w:type="dxa" w:w="100"/>
              <w:bottom w:type="dxa" w:w="60"/>
              <w:right w:type="dxa" w:w="100"/>
            </w:tcMar>
          </w:tcPr>
          <w:p>
            <w:r>
              <w:rPr>
                <w:b w:val="false"/>
                <w:bCs w:val="false"/>
                <w:color w:val="1B2733"/>
                <w:sz w:val="18"/>
                <w:szCs w:val="18"/>
              </w:rPr>
              <w:t xml:space="preserve">year</w:t>
            </w:r>
          </w:p>
        </w:tc>
      </w:tr>
      <w:tr>
        <w:tc>
          <w:tcPr>
            <w:tcW w:type="pct" w:w="400"/>
            <w:tcMar>
              <w:top w:type="dxa" w:w="60"/>
              <w:left w:type="dxa" w:w="100"/>
              <w:bottom w:type="dxa" w:w="60"/>
              <w:right w:type="dxa" w:w="100"/>
            </w:tcMar>
          </w:tcPr>
          <w:p>
            <w:r>
              <w:rPr>
                <w:b w:val="false"/>
                <w:bCs w:val="false"/>
                <w:color w:val="1B2733"/>
                <w:sz w:val="18"/>
                <w:szCs w:val="18"/>
              </w:rPr>
              <w:t xml:space="preserve"/>
            </w:r>
          </w:p>
        </w:tc>
        <w:tc>
          <w:tcPr>
            <w:tcW w:type="pct" w:w="3500"/>
            <w:tcMar>
              <w:top w:type="dxa" w:w="60"/>
              <w:left w:type="dxa" w:w="100"/>
              <w:bottom w:type="dxa" w:w="60"/>
              <w:right w:type="dxa" w:w="100"/>
            </w:tcMar>
          </w:tcPr>
          <w:p>
            <w:r>
              <w:rPr>
                <w:b w:val="false"/>
                <w:bCs w:val="false"/>
                <w:color w:val="1B2733"/>
                <w:sz w:val="18"/>
                <w:szCs w:val="18"/>
              </w:rPr>
              <w:t xml:space="preserve">TOTAL CMC (years 1–5)</w:t>
            </w:r>
          </w:p>
        </w:tc>
        <w:tc>
          <w:tcPr>
            <w:tcW w:type="pct" w:w="600"/>
            <w:tcMar>
              <w:top w:type="dxa" w:w="60"/>
              <w:left w:type="dxa" w:w="100"/>
              <w:bottom w:type="dxa" w:w="60"/>
              <w:right w:type="dxa" w:w="100"/>
            </w:tcMar>
          </w:tcPr>
          <w:p>
            <w:r>
              <w:rPr>
                <w:b w:val="false"/>
                <w:bCs w:val="false"/>
                <w:color w:val="1B2733"/>
                <w:sz w:val="18"/>
                <w:szCs w:val="18"/>
              </w:rPr>
              <w:t xml:space="preserve"/>
            </w:r>
          </w:p>
        </w:tc>
        <w:tc>
          <w:tcPr>
            <w:tcW w:type="pct" w:w="500"/>
            <w:tcMar>
              <w:top w:type="dxa" w:w="60"/>
              <w:left w:type="dxa" w:w="100"/>
              <w:bottom w:type="dxa" w:w="60"/>
              <w:right w:type="dxa" w:w="100"/>
            </w:tcMar>
          </w:tcPr>
          <w:p>
            <w:r>
              <w:rPr>
                <w:b w:val="false"/>
                <w:bCs w:val="false"/>
                <w:color w:val="1B2733"/>
                <w:sz w:val="18"/>
                <w:szCs w:val="18"/>
              </w:rPr>
              <w:t xml:space="preserve"/>
            </w:r>
          </w:p>
        </w:tc>
      </w:tr>
      <w:tr>
        <w:tc>
          <w:tcPr>
            <w:tcW w:type="pct" w:w="400"/>
            <w:tcMar>
              <w:top w:type="dxa" w:w="60"/>
              <w:left w:type="dxa" w:w="100"/>
              <w:bottom w:type="dxa" w:w="60"/>
              <w:right w:type="dxa" w:w="100"/>
            </w:tcMar>
          </w:tcPr>
          <w:p>
            <w:r>
              <w:rPr>
                <w:b w:val="false"/>
                <w:bCs w:val="false"/>
                <w:color w:val="1B2733"/>
                <w:sz w:val="18"/>
                <w:szCs w:val="18"/>
              </w:rPr>
              <w:t xml:space="preserve"/>
            </w:r>
          </w:p>
        </w:tc>
        <w:tc>
          <w:tcPr>
            <w:tcW w:type="pct" w:w="3500"/>
            <w:tcMar>
              <w:top w:type="dxa" w:w="60"/>
              <w:left w:type="dxa" w:w="100"/>
              <w:bottom w:type="dxa" w:w="60"/>
              <w:right w:type="dxa" w:w="100"/>
            </w:tcMar>
          </w:tcPr>
          <w:p>
            <w:r>
              <w:rPr>
                <w:b w:val="false"/>
                <w:bCs w:val="false"/>
                <w:color w:val="1B2733"/>
                <w:sz w:val="18"/>
                <w:szCs w:val="18"/>
              </w:rPr>
              <w:t xml:space="preserve">EVALUATED PRICE = TOTAL CAPEX + TOTAL CMC (+ deviations, RFP §7.3)</w:t>
            </w:r>
          </w:p>
        </w:tc>
        <w:tc>
          <w:tcPr>
            <w:tcW w:type="pct" w:w="600"/>
            <w:tcMar>
              <w:top w:type="dxa" w:w="60"/>
              <w:left w:type="dxa" w:w="100"/>
              <w:bottom w:type="dxa" w:w="60"/>
              <w:right w:type="dxa" w:w="100"/>
            </w:tcMar>
          </w:tcPr>
          <w:p>
            <w:r>
              <w:rPr>
                <w:b w:val="false"/>
                <w:bCs w:val="false"/>
                <w:color w:val="1B2733"/>
                <w:sz w:val="18"/>
                <w:szCs w:val="18"/>
              </w:rPr>
              <w:t xml:space="preserve"/>
            </w:r>
          </w:p>
        </w:tc>
        <w:tc>
          <w:tcPr>
            <w:tcW w:type="pct" w:w="500"/>
            <w:tcMar>
              <w:top w:type="dxa" w:w="60"/>
              <w:left w:type="dxa" w:w="100"/>
              <w:bottom w:type="dxa" w:w="60"/>
              <w:right w:type="dxa" w:w="100"/>
            </w:tcMar>
          </w:tcPr>
          <w:p>
            <w:r>
              <w:rPr>
                <w:b w:val="false"/>
                <w:bCs w:val="false"/>
                <w:color w:val="1B2733"/>
                <w:sz w:val="18"/>
                <w:szCs w:val="18"/>
              </w:rPr>
              <w:t xml:space="preserve"/>
            </w:r>
          </w:p>
        </w:tc>
      </w:tr>
    </w:tbl>
    <w:p>
      <w:pPr>
        <w:pStyle w:val="Heading1"/>
        <w:spacing w:after="120" w:before="240"/>
      </w:pPr>
      <w:r>
        <w:rPr>
          <w:b/>
          <w:bCs/>
          <w:color w:val="13304D"/>
          <w:sz w:val="30"/>
          <w:szCs w:val="30"/>
        </w:rPr>
        <w:t xml:space="preserve">Appendix 3 — Availability penalties</w:t>
      </w:r>
    </w:p>
    <w:p>
      <w:pPr>
        <w:spacing w:after="100"/>
        <w:jc w:val="both"/>
      </w:pPr>
      <w:r>
        <w:rPr>
          <w:sz w:val="20"/>
          <w:szCs w:val="20"/>
        </w:rPr>
        <w:t xml:space="preserve">Availability is measured per scanner per calendar month, excluding agreed planned maintenance of up to 8 hours per month (RFP §6.2.1).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pct" w:w="1750"/>
            <w:shd w:fill="13304D" w:color="auto" w:val="clear"/>
            <w:tcMar>
              <w:top w:type="dxa" w:w="60"/>
              <w:left w:type="dxa" w:w="100"/>
              <w:bottom w:type="dxa" w:w="60"/>
              <w:right w:type="dxa" w:w="100"/>
            </w:tcMar>
          </w:tcPr>
          <w:p>
            <w:r>
              <w:rPr>
                <w:b/>
                <w:bCs/>
                <w:color w:val="FFFFFF"/>
                <w:sz w:val="18"/>
                <w:szCs w:val="18"/>
              </w:rPr>
              <w:t xml:space="preserve">Monthly availability (per scanner)</w:t>
            </w:r>
          </w:p>
        </w:tc>
        <w:tc>
          <w:tcPr>
            <w:tcW w:type="pct" w:w="3250"/>
            <w:shd w:fill="13304D" w:color="auto" w:val="clear"/>
            <w:tcMar>
              <w:top w:type="dxa" w:w="60"/>
              <w:left w:type="dxa" w:w="100"/>
              <w:bottom w:type="dxa" w:w="60"/>
              <w:right w:type="dxa" w:w="100"/>
            </w:tcMar>
          </w:tcPr>
          <w:p>
            <w:r>
              <w:rPr>
                <w:b/>
                <w:bCs/>
                <w:color w:val="FFFFFF"/>
                <w:sz w:val="18"/>
                <w:szCs w:val="18"/>
              </w:rPr>
              <w:t xml:space="preserve">Penalty</w:t>
            </w:r>
          </w:p>
        </w:tc>
      </w:tr>
      <w:tr>
        <w:tc>
          <w:tcPr>
            <w:tcW w:type="pct" w:w="1750"/>
            <w:tcMar>
              <w:top w:type="dxa" w:w="60"/>
              <w:left w:type="dxa" w:w="100"/>
              <w:bottom w:type="dxa" w:w="60"/>
              <w:right w:type="dxa" w:w="100"/>
            </w:tcMar>
          </w:tcPr>
          <w:p>
            <w:r>
              <w:rPr>
                <w:b w:val="false"/>
                <w:bCs w:val="false"/>
                <w:color w:val="1B2733"/>
                <w:sz w:val="18"/>
                <w:szCs w:val="18"/>
              </w:rPr>
              <w:t xml:space="preserve">≥ 98.0%</w:t>
            </w:r>
          </w:p>
        </w:tc>
        <w:tc>
          <w:tcPr>
            <w:tcW w:type="pct" w:w="3250"/>
            <w:tcMar>
              <w:top w:type="dxa" w:w="60"/>
              <w:left w:type="dxa" w:w="100"/>
              <w:bottom w:type="dxa" w:w="60"/>
              <w:right w:type="dxa" w:w="100"/>
            </w:tcMar>
          </w:tcPr>
          <w:p>
            <w:r>
              <w:rPr>
                <w:b w:val="false"/>
                <w:bCs w:val="false"/>
                <w:color w:val="1B2733"/>
                <w:sz w:val="18"/>
                <w:szCs w:val="18"/>
              </w:rPr>
              <w:t xml:space="preserve">None</w:t>
            </w:r>
          </w:p>
        </w:tc>
      </w:tr>
      <w:tr>
        <w:tc>
          <w:tcPr>
            <w:tcW w:type="pct" w:w="1750"/>
            <w:tcMar>
              <w:top w:type="dxa" w:w="60"/>
              <w:left w:type="dxa" w:w="100"/>
              <w:bottom w:type="dxa" w:w="60"/>
              <w:right w:type="dxa" w:w="100"/>
            </w:tcMar>
          </w:tcPr>
          <w:p>
            <w:r>
              <w:rPr>
                <w:b w:val="false"/>
                <w:bCs w:val="false"/>
                <w:color w:val="1B2733"/>
                <w:sz w:val="18"/>
                <w:szCs w:val="18"/>
              </w:rPr>
              <w:t xml:space="preserve">97.0% – 97.9%</w:t>
            </w:r>
          </w:p>
        </w:tc>
        <w:tc>
          <w:tcPr>
            <w:tcW w:type="pct" w:w="3250"/>
            <w:tcMar>
              <w:top w:type="dxa" w:w="60"/>
              <w:left w:type="dxa" w:w="100"/>
              <w:bottom w:type="dxa" w:w="60"/>
              <w:right w:type="dxa" w:w="100"/>
            </w:tcMar>
          </w:tcPr>
          <w:p>
            <w:r>
              <w:rPr>
                <w:b w:val="false"/>
                <w:bCs w:val="false"/>
                <w:color w:val="1B2733"/>
                <w:sz w:val="18"/>
                <w:szCs w:val="18"/>
              </w:rPr>
              <w:t xml:space="preserve">2% of the monthly CMC fee of the scanner (during warranty: deducted from the next payment or the performance security)</w:t>
            </w:r>
          </w:p>
        </w:tc>
      </w:tr>
      <w:tr>
        <w:tc>
          <w:tcPr>
            <w:tcW w:type="pct" w:w="1750"/>
            <w:tcMar>
              <w:top w:type="dxa" w:w="60"/>
              <w:left w:type="dxa" w:w="100"/>
              <w:bottom w:type="dxa" w:w="60"/>
              <w:right w:type="dxa" w:w="100"/>
            </w:tcMar>
          </w:tcPr>
          <w:p>
            <w:r>
              <w:rPr>
                <w:b w:val="false"/>
                <w:bCs w:val="false"/>
                <w:color w:val="1B2733"/>
                <w:sz w:val="18"/>
                <w:szCs w:val="18"/>
              </w:rPr>
              <w:t xml:space="preserve">95.0% – 96.9%</w:t>
            </w:r>
          </w:p>
        </w:tc>
        <w:tc>
          <w:tcPr>
            <w:tcW w:type="pct" w:w="3250"/>
            <w:tcMar>
              <w:top w:type="dxa" w:w="60"/>
              <w:left w:type="dxa" w:w="100"/>
              <w:bottom w:type="dxa" w:w="60"/>
              <w:right w:type="dxa" w:w="100"/>
            </w:tcMar>
          </w:tcPr>
          <w:p>
            <w:r>
              <w:rPr>
                <w:b w:val="false"/>
                <w:bCs w:val="false"/>
                <w:color w:val="1B2733"/>
                <w:sz w:val="18"/>
                <w:szCs w:val="18"/>
              </w:rPr>
              <w:t xml:space="preserve">5% of the monthly CMC fee of the scanner</w:t>
            </w:r>
          </w:p>
        </w:tc>
      </w:tr>
      <w:tr>
        <w:tc>
          <w:tcPr>
            <w:tcW w:type="pct" w:w="1750"/>
            <w:tcMar>
              <w:top w:type="dxa" w:w="60"/>
              <w:left w:type="dxa" w:w="100"/>
              <w:bottom w:type="dxa" w:w="60"/>
              <w:right w:type="dxa" w:w="100"/>
            </w:tcMar>
          </w:tcPr>
          <w:p>
            <w:r>
              <w:rPr>
                <w:b w:val="false"/>
                <w:bCs w:val="false"/>
                <w:color w:val="1B2733"/>
                <w:sz w:val="18"/>
                <w:szCs w:val="18"/>
              </w:rPr>
              <w:t xml:space="preserve">&lt; 95.0%</w:t>
            </w:r>
          </w:p>
        </w:tc>
        <w:tc>
          <w:tcPr>
            <w:tcW w:type="pct" w:w="3250"/>
            <w:tcMar>
              <w:top w:type="dxa" w:w="60"/>
              <w:left w:type="dxa" w:w="100"/>
              <w:bottom w:type="dxa" w:w="60"/>
              <w:right w:type="dxa" w:w="100"/>
            </w:tcMar>
          </w:tcPr>
          <w:p>
            <w:r>
              <w:rPr>
                <w:b w:val="false"/>
                <w:bCs w:val="false"/>
                <w:color w:val="1B2733"/>
                <w:sz w:val="18"/>
                <w:szCs w:val="18"/>
              </w:rPr>
              <w:t xml:space="preserve">10% of the monthly CMC fee of the scanner; three consecutive months below 95% entitle the Employer to terminate the CMC for default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774"/>
        <w:sz w:val="16"/>
        <w:szCs w:val="16"/>
      </w:rPr>
      <w:t xml:space="preserve">SAMPLE / fictional · Page </w:t>
    </w:r>
    <w:r>
      <w:rPr>
        <w:color w:val="5C6774"/>
        <w:sz w:val="16"/>
        <w:szCs w:val="16"/>
      </w:rPr>
      <w:fldChar w:fldCharType="begin"/>
    </w:r>
    <w:r>
      <w:rPr>
        <w:color w:val="5C6774"/>
        <w:sz w:val="16"/>
        <w:szCs w:val="16"/>
      </w:rPr>
      <w:instrText xml:space="preserve">PAGE</w:instrText>
    </w:r>
    <w:r>
      <w:rPr>
        <w:color w:val="5C6774"/>
        <w:sz w:val="16"/>
        <w:szCs w:val="16"/>
      </w:rPr>
      <w:fldChar w:fldCharType="separate"/>
    </w:r>
    <w:r>
      <w:rPr>
        <w:color w:val="5C6774"/>
        <w:sz w:val="16"/>
        <w:szCs w:val="16"/>
      </w:rPr>
      <w:fldChar w:fldCharType="end"/>
    </w:r>
    <w:r>
      <w:rPr>
        <w:color w:val="5C6774"/>
        <w:sz w:val="16"/>
        <w:szCs w:val="16"/>
      </w:rPr>
      <w:t xml:space="preserve"> of </w:t>
    </w:r>
    <w:r>
      <w:rPr>
        <w:color w:val="5C6774"/>
        <w:sz w:val="16"/>
        <w:szCs w:val="16"/>
      </w:rPr>
      <w:fldChar w:fldCharType="begin"/>
    </w:r>
    <w:r>
      <w:rPr>
        <w:color w:val="5C6774"/>
        <w:sz w:val="16"/>
        <w:szCs w:val="16"/>
      </w:rPr>
      <w:instrText xml:space="preserve">NUMPAGES</w:instrText>
    </w:r>
    <w:r>
      <w:rPr>
        <w:color w:val="5C6774"/>
        <w:sz w:val="16"/>
        <w:szCs w:val="16"/>
      </w:rPr>
      <w:fldChar w:fldCharType="separate"/>
    </w:r>
    <w:r>
      <w:rPr>
        <w:color w:val="5C677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774"/>
        <w:sz w:val="16"/>
        <w:szCs w:val="16"/>
      </w:rPr>
      <w:t xml:space="preserve">NGPA/T/2026/014 · Annex C · Draft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NGPA/T/2026/014 Annex C Draft Contract</dc:title>
  <dc:creator>Northern Gulf Ports Authority (SAMPLE)</dc:creator>
  <cp:lastModifiedBy>Un-named</cp:lastModifiedBy>
  <cp:revision>1</cp:revision>
  <dcterms:created xsi:type="dcterms:W3CDTF">2026-10-21T07:27:47.788Z</dcterms:created>
  <dcterms:modified xsi:type="dcterms:W3CDTF">2026-10-21T07:27:47.788Z</dcterms:modified>
</cp:coreProperties>
</file>

<file path=docProps/custom.xml><?xml version="1.0" encoding="utf-8"?>
<Properties xmlns="http://schemas.openxmlformats.org/officeDocument/2006/custom-properties" xmlns:vt="http://schemas.openxmlformats.org/officeDocument/2006/docPropsVTypes"/>
</file>