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63" w:rsidRPr="001C65F0" w:rsidRDefault="00B72087" w:rsidP="002C5763">
      <w:pPr>
        <w:pStyle w:val="NormalWeb"/>
        <w:spacing w:before="2" w:afterLines="0"/>
        <w:jc w:val="center"/>
        <w:rPr>
          <w:rFonts w:ascii="Times New Roman" w:hAnsi="Times New Roman"/>
          <w:b/>
          <w:sz w:val="28"/>
        </w:rPr>
      </w:pPr>
      <w:r w:rsidRPr="001C65F0">
        <w:rPr>
          <w:rFonts w:ascii="Times New Roman" w:hAnsi="Times New Roman"/>
          <w:b/>
          <w:sz w:val="28"/>
        </w:rPr>
        <w:t>BANK</w:t>
      </w:r>
    </w:p>
    <w:p w:rsidR="00135485" w:rsidRPr="006949B5" w:rsidRDefault="00135485" w:rsidP="00135485">
      <w:pPr>
        <w:pStyle w:val="NormalWeb"/>
        <w:spacing w:before="2" w:afterLines="0"/>
        <w:rPr>
          <w:rFonts w:ascii="Times New Roman" w:hAnsi="Times New Roman"/>
          <w:b/>
        </w:rPr>
      </w:pPr>
    </w:p>
    <w:p w:rsidR="002C5763" w:rsidRPr="006949B5" w:rsidRDefault="00A26DBC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  <w:b/>
        </w:rPr>
        <w:t>Bank</w:t>
      </w:r>
    </w:p>
    <w:p w:rsidR="00105DB3" w:rsidRDefault="00B72087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Bank jest instytucją finansową, </w:t>
      </w:r>
      <w:r w:rsidR="00A26DBC">
        <w:rPr>
          <w:rFonts w:ascii="Times New Roman" w:hAnsi="Times New Roman"/>
        </w:rPr>
        <w:t>oferującą klientom</w:t>
      </w:r>
      <w:r>
        <w:rPr>
          <w:rFonts w:ascii="Times New Roman" w:hAnsi="Times New Roman"/>
        </w:rPr>
        <w:t xml:space="preserve"> </w:t>
      </w:r>
      <w:r w:rsidR="00105DB3">
        <w:rPr>
          <w:rFonts w:ascii="Times New Roman" w:hAnsi="Times New Roman"/>
        </w:rPr>
        <w:t xml:space="preserve">produkty bankowe: </w:t>
      </w:r>
      <w:r>
        <w:rPr>
          <w:rFonts w:ascii="Times New Roman" w:hAnsi="Times New Roman"/>
        </w:rPr>
        <w:t>r</w:t>
      </w:r>
      <w:r w:rsidR="00A26DBC">
        <w:rPr>
          <w:rFonts w:ascii="Times New Roman" w:hAnsi="Times New Roman"/>
        </w:rPr>
        <w:t xml:space="preserve">achunki bankowe, kredyty, lokaty. </w:t>
      </w:r>
      <w:r w:rsidR="00105DB3">
        <w:rPr>
          <w:rFonts w:ascii="Times New Roman" w:hAnsi="Times New Roman"/>
        </w:rPr>
        <w:t xml:space="preserve">Umożliwia </w:t>
      </w:r>
      <w:r w:rsidR="00A26DBC">
        <w:rPr>
          <w:rFonts w:ascii="Times New Roman" w:hAnsi="Times New Roman"/>
        </w:rPr>
        <w:t>zarządzanie środkami i lokowanie ich w tych produktach</w:t>
      </w:r>
      <w:r w:rsidR="0048635C">
        <w:rPr>
          <w:rFonts w:ascii="Times New Roman" w:hAnsi="Times New Roman"/>
        </w:rPr>
        <w:t>, zgodnie ze zlec</w:t>
      </w:r>
      <w:r w:rsidR="00105DB3">
        <w:rPr>
          <w:rFonts w:ascii="Times New Roman" w:hAnsi="Times New Roman"/>
        </w:rPr>
        <w:t>eniami</w:t>
      </w:r>
      <w:r w:rsidR="0048635C">
        <w:rPr>
          <w:rFonts w:ascii="Times New Roman" w:hAnsi="Times New Roman"/>
        </w:rPr>
        <w:t xml:space="preserve"> właścicieli. </w:t>
      </w:r>
    </w:p>
    <w:p w:rsidR="003741EB" w:rsidRPr="004D4EDA" w:rsidRDefault="00A45A12" w:rsidP="00135485">
      <w:pPr>
        <w:pStyle w:val="NormalWeb"/>
        <w:spacing w:before="2" w:afterLine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Rachunek bankowy</w:t>
      </w:r>
    </w:p>
    <w:p w:rsidR="00B72087" w:rsidRDefault="00B72087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Rachunek </w:t>
      </w:r>
      <w:r w:rsidR="00A26DBC">
        <w:rPr>
          <w:rFonts w:ascii="Times New Roman" w:hAnsi="Times New Roman"/>
        </w:rPr>
        <w:t xml:space="preserve">jest produktem umożliwiającym wpłaty, wypłaty, przelewy. Środki na rachunku są oprocentowane </w:t>
      </w:r>
      <w:r w:rsidR="00A45A12">
        <w:rPr>
          <w:rFonts w:ascii="Times New Roman" w:hAnsi="Times New Roman"/>
        </w:rPr>
        <w:t xml:space="preserve">zgodnie z aktualnie wybranym systemem odsetek. Rachunek posiada </w:t>
      </w:r>
      <w:r w:rsidR="00401472">
        <w:rPr>
          <w:rFonts w:ascii="Times New Roman" w:hAnsi="Times New Roman"/>
        </w:rPr>
        <w:t xml:space="preserve">numer (identyfikator) </w:t>
      </w:r>
      <w:r w:rsidR="00A45A12">
        <w:rPr>
          <w:rFonts w:ascii="Times New Roman" w:hAnsi="Times New Roman"/>
        </w:rPr>
        <w:t>właściciela, datę założenia, aktualne saldo i historię operacji.</w:t>
      </w:r>
      <w:r w:rsidR="00401472">
        <w:rPr>
          <w:rFonts w:ascii="Times New Roman" w:hAnsi="Times New Roman"/>
        </w:rPr>
        <w:t xml:space="preserve"> Rachunek można obciążać do wysokości salda.</w:t>
      </w:r>
    </w:p>
    <w:p w:rsidR="00A45A12" w:rsidRPr="00401472" w:rsidRDefault="00A45A12" w:rsidP="00A45A12">
      <w:pPr>
        <w:pStyle w:val="NormalWeb"/>
        <w:spacing w:before="2" w:afterLines="0"/>
        <w:rPr>
          <w:rFonts w:ascii="Times New Roman" w:hAnsi="Times New Roman"/>
          <w:b/>
        </w:rPr>
      </w:pPr>
      <w:r w:rsidRPr="00401472">
        <w:rPr>
          <w:rFonts w:ascii="Times New Roman" w:hAnsi="Times New Roman"/>
          <w:b/>
        </w:rPr>
        <w:t xml:space="preserve">Lokata </w:t>
      </w:r>
    </w:p>
    <w:p w:rsidR="00A45A12" w:rsidRDefault="00A45A12" w:rsidP="00A45A12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>Lokata jest specjalnym typem rachunku, na którym umieszczane są środki na określony czas. Odsetki od nich są naliczane dopiero w momencie jej rozwiązania. Zerwanie lokaty powoduje wypłatę środków bez odsetek.</w:t>
      </w:r>
      <w:r w:rsidR="00401472">
        <w:rPr>
          <w:rFonts w:ascii="Times New Roman" w:hAnsi="Times New Roman"/>
        </w:rPr>
        <w:t xml:space="preserve"> Lokata jest powiązana z rachunkiem bankowym, z którego przekazywane są środki na jej utworzenie oraz na które wracają środki powiększone o wartość odsetek.</w:t>
      </w:r>
    </w:p>
    <w:p w:rsidR="00401472" w:rsidRDefault="00401472" w:rsidP="00135485">
      <w:pPr>
        <w:pStyle w:val="NormalWeb"/>
        <w:spacing w:before="2" w:afterLine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Kredyt</w:t>
      </w:r>
    </w:p>
    <w:p w:rsidR="00A45A12" w:rsidRPr="00401472" w:rsidRDefault="00401472" w:rsidP="00135485">
      <w:pPr>
        <w:pStyle w:val="NormalWeb"/>
        <w:spacing w:before="2" w:afterLines="0"/>
        <w:rPr>
          <w:rFonts w:ascii="Times New Roman" w:hAnsi="Times New Roman"/>
        </w:rPr>
      </w:pPr>
      <w:r w:rsidRPr="00401472">
        <w:rPr>
          <w:rFonts w:ascii="Times New Roman" w:hAnsi="Times New Roman"/>
        </w:rPr>
        <w:t>Kredyt działa na odwrotnej zasadzie niż lokata. Również jest powiązany z rachunkiem bankowym, który stanowi dla niego miejsce przeznaczenia pożyczonych środków, i z którego kredyt ten jest spłacany (dla uproszczenia – w jednej racie równej wysokości kretytu + wysokości odsetek).</w:t>
      </w:r>
    </w:p>
    <w:p w:rsidR="0048635C" w:rsidRPr="004D4EDA" w:rsidRDefault="0048635C" w:rsidP="00135485">
      <w:pPr>
        <w:pStyle w:val="NormalWeb"/>
        <w:spacing w:before="2" w:afterLines="0"/>
        <w:rPr>
          <w:rFonts w:ascii="Times New Roman" w:hAnsi="Times New Roman"/>
          <w:b/>
        </w:rPr>
      </w:pPr>
      <w:r w:rsidRPr="004D4EDA">
        <w:rPr>
          <w:rFonts w:ascii="Times New Roman" w:hAnsi="Times New Roman"/>
          <w:b/>
        </w:rPr>
        <w:t>Operacje bankowe</w:t>
      </w:r>
    </w:p>
    <w:p w:rsidR="004D4EDA" w:rsidRDefault="0048635C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>Każda czynność związana ze zmianą stanu produktu bankowego jest operacją bankową, która jest zapisana w historii odpowiedniego produktu bankowego. Operacje bankowe posiadają swój typ (identyfikator typu), datę realizacji i opis.</w:t>
      </w:r>
    </w:p>
    <w:p w:rsidR="004D4EDA" w:rsidRDefault="004D4EDA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>Wpłata, wypłata, przelew, naliczenie odsetek, zmiana mechanizmu odsetkowego, założenie lokaty, zerwanie lokaty, zaciągnięcie kredytu, spłata raty kredytu, stwor</w:t>
      </w:r>
      <w:r w:rsidR="00401472">
        <w:rPr>
          <w:rFonts w:ascii="Times New Roman" w:hAnsi="Times New Roman"/>
        </w:rPr>
        <w:t>zenie debetu, wykonanie raportu</w:t>
      </w:r>
    </w:p>
    <w:p w:rsidR="004D4EDA" w:rsidRPr="004D4EDA" w:rsidRDefault="004D4EDA" w:rsidP="00135485">
      <w:pPr>
        <w:pStyle w:val="NormalWeb"/>
        <w:spacing w:before="2" w:afterLines="0"/>
        <w:rPr>
          <w:rFonts w:ascii="Times New Roman" w:hAnsi="Times New Roman"/>
          <w:b/>
        </w:rPr>
      </w:pPr>
      <w:r w:rsidRPr="004D4EDA">
        <w:rPr>
          <w:rFonts w:ascii="Times New Roman" w:hAnsi="Times New Roman"/>
          <w:b/>
        </w:rPr>
        <w:t>Historia</w:t>
      </w:r>
    </w:p>
    <w:p w:rsidR="00C1647B" w:rsidRDefault="004D4EDA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>Każdy produkt bankowy posiada swoją historię – uporządkowaną chronologicznie kolekcję wykonanych operacji bankowych. Podobna historia istnieje na poziomie całego banku.</w:t>
      </w:r>
      <w:r w:rsidR="00401472">
        <w:rPr>
          <w:rFonts w:ascii="Times New Roman" w:hAnsi="Times New Roman"/>
        </w:rPr>
        <w:t xml:space="preserve"> Zapis do historii w którymkolwiek produkcie bankowym stanowi jednocześnie zapis do historii banku.</w:t>
      </w:r>
    </w:p>
    <w:p w:rsidR="003D77D5" w:rsidRPr="004D4EDA" w:rsidRDefault="00B72087" w:rsidP="00135485">
      <w:pPr>
        <w:pStyle w:val="NormalWeb"/>
        <w:spacing w:before="2" w:afterLines="0"/>
        <w:rPr>
          <w:rFonts w:ascii="Times New Roman" w:hAnsi="Times New Roman"/>
          <w:b/>
        </w:rPr>
      </w:pPr>
      <w:r w:rsidRPr="004D4EDA">
        <w:rPr>
          <w:rFonts w:ascii="Times New Roman" w:hAnsi="Times New Roman"/>
          <w:b/>
        </w:rPr>
        <w:t>Odsetki</w:t>
      </w:r>
    </w:p>
    <w:p w:rsidR="00B72087" w:rsidRDefault="003D77D5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>Wszystkie produkty mają przypisany mechanizm odsetkowy (jeden z wielu możliwych), opisujący naliczanie odsetek od aktualnej wartości salda, zadłużenia etc. Mechanizm odsetkowy podaje wartość odsetek w sposób niekoniecznie liniowy</w:t>
      </w:r>
    </w:p>
    <w:p w:rsidR="007E1A67" w:rsidRPr="004D4EDA" w:rsidRDefault="00B72087" w:rsidP="00135485">
      <w:pPr>
        <w:pStyle w:val="NormalWeb"/>
        <w:spacing w:before="2" w:afterLines="0"/>
        <w:rPr>
          <w:rFonts w:ascii="Times New Roman" w:hAnsi="Times New Roman"/>
          <w:b/>
        </w:rPr>
      </w:pPr>
      <w:r w:rsidRPr="004D4EDA">
        <w:rPr>
          <w:rFonts w:ascii="Times New Roman" w:hAnsi="Times New Roman"/>
          <w:b/>
        </w:rPr>
        <w:t>Debet</w:t>
      </w:r>
      <w:r w:rsidR="007E1A67" w:rsidRPr="004D4EDA">
        <w:rPr>
          <w:rFonts w:ascii="Times New Roman" w:hAnsi="Times New Roman"/>
          <w:b/>
        </w:rPr>
        <w:t xml:space="preserve"> </w:t>
      </w:r>
    </w:p>
    <w:p w:rsidR="00B72087" w:rsidRDefault="007E1A67" w:rsidP="00135485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Istnieje możliwość dodania mechanizmu debetowego do wybranych rachunków. Debet w rachunku oznacza, że możliwe jest obciążanie rachunku poniżej wartości salda, do wysokości maksymalnego poziomu ustalonego indywidualnie dla każdego rachunku. W przypadku gdy w rachunku występuje debet, wpłaty na rachunek najpierw zmniejszają wartość debetu, a dopiero po jego wyzerowaniu – zwiększają saldo. </w:t>
      </w:r>
    </w:p>
    <w:p w:rsidR="003D77D5" w:rsidRPr="004D4EDA" w:rsidRDefault="00B72087" w:rsidP="00135485">
      <w:pPr>
        <w:pStyle w:val="NormalWeb"/>
        <w:spacing w:before="2" w:afterLines="0"/>
        <w:rPr>
          <w:rFonts w:ascii="Times New Roman" w:hAnsi="Times New Roman"/>
          <w:b/>
        </w:rPr>
      </w:pPr>
      <w:r w:rsidRPr="004D4EDA">
        <w:rPr>
          <w:rFonts w:ascii="Times New Roman" w:hAnsi="Times New Roman"/>
          <w:b/>
        </w:rPr>
        <w:t>Raportowanie</w:t>
      </w:r>
    </w:p>
    <w:p w:rsidR="00135485" w:rsidRPr="006949B5" w:rsidRDefault="003D77D5" w:rsidP="00F97D94">
      <w:pPr>
        <w:pStyle w:val="NormalWeb"/>
        <w:spacing w:before="2" w:afterLine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 banku konieczne jest tworzenie raportów o dowolnej strukturze. Raporty mogą mieć postać listy produktów spełniających określone kryterium (np. posiadających wartość powyżej pewnego limitu) albo wartości agregujących określone atrybuty wybranych produktów (np. suma aktywów). </w:t>
      </w:r>
    </w:p>
    <w:p w:rsidR="00246DFF" w:rsidRPr="003741EB" w:rsidRDefault="00246DFF" w:rsidP="00135485">
      <w:pPr>
        <w:tabs>
          <w:tab w:val="left" w:pos="960"/>
        </w:tabs>
        <w:rPr>
          <w:rFonts w:ascii="Times New Roman" w:hAnsi="Times New Roman"/>
        </w:rPr>
      </w:pPr>
    </w:p>
    <w:sectPr w:rsidR="00246DFF" w:rsidRPr="003741EB" w:rsidSect="00A87EB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6" w:bottom="1417" w:left="1418" w:header="0" w:footer="283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472" w:rsidRDefault="00401472" w:rsidP="00A7499F">
      <w:pPr>
        <w:spacing w:after="0" w:line="240" w:lineRule="auto"/>
      </w:pPr>
      <w:r>
        <w:separator/>
      </w:r>
    </w:p>
  </w:endnote>
  <w:endnote w:type="continuationSeparator" w:id="0">
    <w:p w:rsidR="00401472" w:rsidRDefault="00401472" w:rsidP="00A7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72" w:rsidRPr="00F97D94" w:rsidRDefault="00401472" w:rsidP="001F2AD8">
    <w:pPr>
      <w:pStyle w:val="Footer"/>
      <w:jc w:val="center"/>
      <w:rPr>
        <w:rFonts w:ascii="Times New Roman" w:hAnsi="Times New Roman"/>
        <w:i/>
        <w:smallCaps/>
        <w:sz w:val="28"/>
        <w:szCs w:val="17"/>
      </w:rPr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72" w:rsidRPr="0017587B" w:rsidRDefault="00401472" w:rsidP="00B95C51">
    <w:pPr>
      <w:pStyle w:val="Footer"/>
      <w:jc w:val="center"/>
      <w:rPr>
        <w:rFonts w:ascii="Cambria" w:hAnsi="Cambria"/>
        <w:sz w:val="16"/>
        <w:szCs w:val="18"/>
      </w:rPr>
    </w:pPr>
    <w:r w:rsidRPr="00B33FAA">
      <w:rPr>
        <w:rFonts w:ascii="Cambria" w:hAnsi="Cambria"/>
        <w:noProof/>
        <w:sz w:val="16"/>
        <w:szCs w:val="18"/>
        <w:lang w:eastAsia="pl-PL"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12" o:spid="_x0000_s4096" type="#_x0000_t32" style="position:absolute;left:0;text-align:left;margin-left:-22.6pt;margin-top:-1.2pt;width:498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F5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GOwOI0U6&#10;WNHTwetYGWXjMJ/euALCKrW1oUN6Uq/mWdPvDildtUTteYx+OxtIzkJGcpcSLs5AlV3/RTOIIVAg&#10;DuvU2C5AwhjQKe7kfNsJP3lE4eNsMsm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"/>
      </w:pict>
    </w:r>
    <w:r w:rsidRPr="0017587B">
      <w:rPr>
        <w:rFonts w:ascii="Cambria" w:hAnsi="Cambria"/>
        <w:sz w:val="16"/>
        <w:szCs w:val="18"/>
      </w:rPr>
      <w:t xml:space="preserve">Projekt finansowany ze środków Unii Europejskiej w ramach Europejskiego Funduszu Społecznego oraz </w:t>
    </w:r>
    <w:r>
      <w:rPr>
        <w:rFonts w:ascii="Cambria" w:hAnsi="Cambria"/>
        <w:sz w:val="16"/>
        <w:szCs w:val="18"/>
      </w:rPr>
      <w:t xml:space="preserve">z </w:t>
    </w:r>
    <w:r w:rsidRPr="0017587B">
      <w:rPr>
        <w:rFonts w:ascii="Cambria" w:hAnsi="Cambria"/>
        <w:sz w:val="16"/>
        <w:szCs w:val="18"/>
      </w:rPr>
      <w:t>budżetu państwa</w:t>
    </w:r>
  </w:p>
  <w:p w:rsidR="00401472" w:rsidRPr="0017587B" w:rsidRDefault="00401472" w:rsidP="00B95C51">
    <w:pPr>
      <w:pStyle w:val="Footer"/>
      <w:rPr>
        <w:rFonts w:ascii="Cambria" w:hAnsi="Cambria"/>
        <w:sz w:val="6"/>
        <w:szCs w:val="8"/>
      </w:rPr>
    </w:pPr>
  </w:p>
  <w:p w:rsidR="00401472" w:rsidRPr="0017587B" w:rsidRDefault="00401472" w:rsidP="00B95C51">
    <w:pPr>
      <w:pStyle w:val="Footer"/>
      <w:jc w:val="center"/>
      <w:rPr>
        <w:rFonts w:ascii="Cambria" w:hAnsi="Cambria"/>
        <w:sz w:val="16"/>
        <w:szCs w:val="18"/>
      </w:rPr>
    </w:pPr>
    <w:r>
      <w:rPr>
        <w:rFonts w:ascii="Cambria" w:hAnsi="Cambria"/>
        <w:sz w:val="16"/>
        <w:szCs w:val="18"/>
      </w:rPr>
      <w:t>p</w:t>
    </w:r>
    <w:r w:rsidRPr="0017587B">
      <w:rPr>
        <w:rFonts w:ascii="Cambria" w:hAnsi="Cambria"/>
        <w:sz w:val="16"/>
        <w:szCs w:val="18"/>
      </w:rPr>
      <w:t>rojekt</w:t>
    </w:r>
    <w:r>
      <w:rPr>
        <w:rFonts w:ascii="Cambria" w:hAnsi="Cambria"/>
        <w:sz w:val="16"/>
        <w:szCs w:val="18"/>
      </w:rPr>
      <w:t>:</w:t>
    </w:r>
    <w:r w:rsidRPr="0017587B">
      <w:rPr>
        <w:rFonts w:ascii="Cambria" w:hAnsi="Cambria"/>
        <w:sz w:val="16"/>
        <w:szCs w:val="18"/>
      </w:rPr>
      <w:t xml:space="preserve"> </w:t>
    </w:r>
    <w:r w:rsidRPr="0017587B">
      <w:rPr>
        <w:rFonts w:ascii="Cambria" w:hAnsi="Cambria"/>
        <w:i/>
        <w:sz w:val="16"/>
        <w:szCs w:val="18"/>
      </w:rPr>
      <w:t>Kształcenie dla gospodarki opartej na wiedzy</w:t>
    </w:r>
    <w:r w:rsidRPr="0017587B">
      <w:rPr>
        <w:rFonts w:ascii="Cambria" w:hAnsi="Cambria"/>
        <w:i/>
        <w:sz w:val="16"/>
        <w:szCs w:val="18"/>
      </w:rPr>
      <w:br/>
    </w:r>
    <w:r w:rsidRPr="0017587B">
      <w:rPr>
        <w:rFonts w:ascii="Cambria" w:hAnsi="Cambria"/>
        <w:sz w:val="16"/>
        <w:szCs w:val="18"/>
      </w:rPr>
      <w:t>n</w:t>
    </w:r>
    <w:r>
      <w:rPr>
        <w:rFonts w:ascii="Cambria" w:hAnsi="Cambria"/>
        <w:sz w:val="16"/>
        <w:szCs w:val="18"/>
      </w:rPr>
      <w:t>ume</w:t>
    </w:r>
    <w:r w:rsidRPr="0017587B">
      <w:rPr>
        <w:rFonts w:ascii="Cambria" w:hAnsi="Cambria"/>
        <w:sz w:val="16"/>
        <w:szCs w:val="18"/>
      </w:rPr>
      <w:t>r</w:t>
    </w:r>
    <w:r>
      <w:rPr>
        <w:rFonts w:ascii="Cambria" w:hAnsi="Cambria"/>
        <w:sz w:val="16"/>
        <w:szCs w:val="18"/>
      </w:rPr>
      <w:t xml:space="preserve"> projektu</w:t>
    </w:r>
    <w:r w:rsidRPr="0017587B">
      <w:rPr>
        <w:rFonts w:ascii="Cambria" w:hAnsi="Cambria"/>
        <w:sz w:val="16"/>
        <w:szCs w:val="18"/>
      </w:rPr>
      <w:t>: POKL.04.01.01-00-213/10</w:t>
    </w:r>
  </w:p>
  <w:p w:rsidR="00401472" w:rsidRPr="0017587B" w:rsidRDefault="00401472" w:rsidP="00B95C51">
    <w:pPr>
      <w:pStyle w:val="Footer"/>
      <w:jc w:val="center"/>
      <w:rPr>
        <w:rFonts w:ascii="Cambria" w:hAnsi="Cambria"/>
        <w:sz w:val="16"/>
        <w:szCs w:val="18"/>
      </w:rPr>
    </w:pPr>
    <w:r w:rsidRPr="0017587B">
      <w:rPr>
        <w:rFonts w:ascii="Cambria" w:hAnsi="Cambria"/>
        <w:sz w:val="16"/>
        <w:szCs w:val="18"/>
      </w:rPr>
      <w:t>Beneficjent:</w:t>
    </w:r>
    <w:r w:rsidRPr="0017587B">
      <w:rPr>
        <w:rFonts w:ascii="Cambria" w:hAnsi="Cambria"/>
        <w:b/>
        <w:sz w:val="16"/>
        <w:szCs w:val="18"/>
      </w:rPr>
      <w:t xml:space="preserve"> </w:t>
    </w:r>
    <w:r w:rsidRPr="0017587B">
      <w:rPr>
        <w:rFonts w:ascii="Cambria" w:hAnsi="Cambria"/>
        <w:smallCaps/>
        <w:sz w:val="16"/>
        <w:szCs w:val="18"/>
      </w:rPr>
      <w:t>Politechnika Poznańska</w:t>
    </w:r>
    <w:r w:rsidRPr="0017587B">
      <w:rPr>
        <w:rFonts w:ascii="Cambria" w:hAnsi="Cambria"/>
        <w:sz w:val="16"/>
        <w:szCs w:val="18"/>
      </w:rPr>
      <w:t>,</w:t>
    </w:r>
    <w:r w:rsidRPr="0017587B">
      <w:rPr>
        <w:rFonts w:ascii="Cambria" w:hAnsi="Cambria"/>
        <w:b/>
        <w:sz w:val="16"/>
        <w:szCs w:val="18"/>
      </w:rPr>
      <w:t xml:space="preserve"> </w:t>
    </w:r>
    <w:r w:rsidRPr="0017587B">
      <w:rPr>
        <w:rFonts w:ascii="Cambria" w:hAnsi="Cambria"/>
        <w:sz w:val="16"/>
        <w:szCs w:val="18"/>
      </w:rPr>
      <w:t>Plac Marii Skłodowskiej-Curie 5, 60-965 Poznań</w:t>
    </w:r>
  </w:p>
  <w:p w:rsidR="00401472" w:rsidRPr="00B95C51" w:rsidRDefault="00401472" w:rsidP="00B95C51">
    <w:pPr>
      <w:pStyle w:val="Footer"/>
      <w:jc w:val="center"/>
      <w:rPr>
        <w:rFonts w:ascii="Cambria" w:hAnsi="Cambria"/>
        <w:sz w:val="20"/>
        <w:lang w:val="en-US"/>
      </w:rPr>
    </w:pPr>
    <w:proofErr w:type="gramStart"/>
    <w:r w:rsidRPr="0017587B">
      <w:rPr>
        <w:rFonts w:ascii="Cambria" w:hAnsi="Cambria"/>
        <w:sz w:val="16"/>
        <w:szCs w:val="18"/>
        <w:lang w:val="en-US"/>
      </w:rPr>
      <w:t>tel</w:t>
    </w:r>
    <w:proofErr w:type="gramEnd"/>
    <w:r w:rsidRPr="0017587B">
      <w:rPr>
        <w:rFonts w:ascii="Cambria" w:hAnsi="Cambria"/>
        <w:sz w:val="16"/>
        <w:szCs w:val="18"/>
        <w:lang w:val="en-US"/>
      </w:rPr>
      <w:t>. 61 647 58 95, fax. 61 647 58 69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472" w:rsidRDefault="00401472" w:rsidP="00A7499F">
      <w:pPr>
        <w:spacing w:after="0" w:line="240" w:lineRule="auto"/>
      </w:pPr>
      <w:r>
        <w:separator/>
      </w:r>
    </w:p>
  </w:footnote>
  <w:footnote w:type="continuationSeparator" w:id="0">
    <w:p w:rsidR="00401472" w:rsidRDefault="00401472" w:rsidP="00A7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72" w:rsidRPr="00F97D94" w:rsidRDefault="00401472" w:rsidP="00813F6E">
    <w:pPr>
      <w:pStyle w:val="Header"/>
      <w:tabs>
        <w:tab w:val="clear" w:pos="4536"/>
      </w:tabs>
      <w:ind w:left="-1276"/>
      <w:rPr>
        <w:rFonts w:ascii="Times New Roman" w:hAnsi="Times New Roman"/>
      </w:rPr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  <w:p w:rsidR="00401472" w:rsidRDefault="00401472" w:rsidP="00AC46FE">
    <w:pPr>
      <w:pStyle w:val="Header"/>
      <w:ind w:left="-113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4100"/>
    <o:shapelayout v:ext="edit">
      <o:idmap v:ext="edit" data="4"/>
      <o:rules v:ext="edit">
        <o:r id="V:Rule4" type="connector" idref="#AutoShape 1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7499F"/>
    <w:rsid w:val="000057C7"/>
    <w:rsid w:val="00035939"/>
    <w:rsid w:val="000551C8"/>
    <w:rsid w:val="00063677"/>
    <w:rsid w:val="0006788D"/>
    <w:rsid w:val="000B411C"/>
    <w:rsid w:val="000C269E"/>
    <w:rsid w:val="000C3F7D"/>
    <w:rsid w:val="000F34D3"/>
    <w:rsid w:val="00105DB3"/>
    <w:rsid w:val="00112629"/>
    <w:rsid w:val="00112A41"/>
    <w:rsid w:val="00121347"/>
    <w:rsid w:val="00135485"/>
    <w:rsid w:val="00171080"/>
    <w:rsid w:val="001B7D54"/>
    <w:rsid w:val="001C65F0"/>
    <w:rsid w:val="001F2AD8"/>
    <w:rsid w:val="00246DFF"/>
    <w:rsid w:val="00252E49"/>
    <w:rsid w:val="002641E7"/>
    <w:rsid w:val="002A17B2"/>
    <w:rsid w:val="002C5763"/>
    <w:rsid w:val="002C6950"/>
    <w:rsid w:val="00317BFB"/>
    <w:rsid w:val="00321D16"/>
    <w:rsid w:val="003741EB"/>
    <w:rsid w:val="0037717F"/>
    <w:rsid w:val="00383139"/>
    <w:rsid w:val="0039536A"/>
    <w:rsid w:val="003A4DCD"/>
    <w:rsid w:val="003D77D5"/>
    <w:rsid w:val="00401472"/>
    <w:rsid w:val="004172FB"/>
    <w:rsid w:val="00421B32"/>
    <w:rsid w:val="0048635C"/>
    <w:rsid w:val="0049258A"/>
    <w:rsid w:val="004C0922"/>
    <w:rsid w:val="004D4EDA"/>
    <w:rsid w:val="004F6CE3"/>
    <w:rsid w:val="00565B27"/>
    <w:rsid w:val="00632CA7"/>
    <w:rsid w:val="006641B4"/>
    <w:rsid w:val="006642F1"/>
    <w:rsid w:val="00672610"/>
    <w:rsid w:val="006949B5"/>
    <w:rsid w:val="006D4F1C"/>
    <w:rsid w:val="007356A0"/>
    <w:rsid w:val="00761447"/>
    <w:rsid w:val="00781A21"/>
    <w:rsid w:val="007E1A67"/>
    <w:rsid w:val="00800C52"/>
    <w:rsid w:val="00803938"/>
    <w:rsid w:val="00807C83"/>
    <w:rsid w:val="00813F6E"/>
    <w:rsid w:val="00861D2F"/>
    <w:rsid w:val="00866BA1"/>
    <w:rsid w:val="008A2766"/>
    <w:rsid w:val="008B20A3"/>
    <w:rsid w:val="008F7C26"/>
    <w:rsid w:val="00900537"/>
    <w:rsid w:val="00965A24"/>
    <w:rsid w:val="00977896"/>
    <w:rsid w:val="009A61B7"/>
    <w:rsid w:val="009B567A"/>
    <w:rsid w:val="00A05AE4"/>
    <w:rsid w:val="00A179A2"/>
    <w:rsid w:val="00A26DBC"/>
    <w:rsid w:val="00A362B3"/>
    <w:rsid w:val="00A45A12"/>
    <w:rsid w:val="00A675D7"/>
    <w:rsid w:val="00A7499F"/>
    <w:rsid w:val="00A812C5"/>
    <w:rsid w:val="00A8738E"/>
    <w:rsid w:val="00A87EBD"/>
    <w:rsid w:val="00AC0EA3"/>
    <w:rsid w:val="00AC26AD"/>
    <w:rsid w:val="00AC46FE"/>
    <w:rsid w:val="00AD648F"/>
    <w:rsid w:val="00B12869"/>
    <w:rsid w:val="00B2315E"/>
    <w:rsid w:val="00B33FAA"/>
    <w:rsid w:val="00B5635C"/>
    <w:rsid w:val="00B72087"/>
    <w:rsid w:val="00B87CC7"/>
    <w:rsid w:val="00B95C51"/>
    <w:rsid w:val="00BD19D6"/>
    <w:rsid w:val="00C02232"/>
    <w:rsid w:val="00C1647B"/>
    <w:rsid w:val="00C23716"/>
    <w:rsid w:val="00C67A50"/>
    <w:rsid w:val="00CA687A"/>
    <w:rsid w:val="00CA6F16"/>
    <w:rsid w:val="00CC2B92"/>
    <w:rsid w:val="00DA3B05"/>
    <w:rsid w:val="00DA3B91"/>
    <w:rsid w:val="00DB7647"/>
    <w:rsid w:val="00DE081F"/>
    <w:rsid w:val="00E00260"/>
    <w:rsid w:val="00E6417F"/>
    <w:rsid w:val="00E730C8"/>
    <w:rsid w:val="00E82FAB"/>
    <w:rsid w:val="00E858A8"/>
    <w:rsid w:val="00EB354B"/>
    <w:rsid w:val="00F14F3B"/>
    <w:rsid w:val="00F150C5"/>
    <w:rsid w:val="00F43A4C"/>
    <w:rsid w:val="00F82FCF"/>
    <w:rsid w:val="00F97D94"/>
    <w:rsid w:val="00FB1781"/>
    <w:rsid w:val="00FB4BBF"/>
  </w:rsids>
  <m:mathPr>
    <m:mathFont m:val="Lucida Grande C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A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qFormat/>
    <w:rsid w:val="008B20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7499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7499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499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2641E7"/>
    <w:rPr>
      <w:color w:val="0000FF"/>
      <w:u w:val="single"/>
    </w:rPr>
  </w:style>
  <w:style w:type="paragraph" w:styleId="NormalWeb">
    <w:name w:val="Normal (Web)"/>
    <w:basedOn w:val="Normal"/>
    <w:uiPriority w:val="99"/>
    <w:rsid w:val="00135485"/>
    <w:pPr>
      <w:spacing w:beforeLines="1" w:afterLines="1" w:line="240" w:lineRule="auto"/>
    </w:pPr>
    <w:rPr>
      <w:rFonts w:ascii="Times" w:eastAsiaTheme="minorHAnsi" w:hAnsi="Times"/>
      <w:sz w:val="20"/>
      <w:szCs w:val="20"/>
      <w:lang w:val="cs-CZ"/>
    </w:rPr>
  </w:style>
  <w:style w:type="table" w:styleId="TableGrid">
    <w:name w:val="Table Grid"/>
    <w:basedOn w:val="TableNormal"/>
    <w:uiPriority w:val="59"/>
    <w:rsid w:val="00317B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20A3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sid w:val="008B20A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A7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rsid w:val="00A7499F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7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rsid w:val="00A7499F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7499F"/>
    <w:rPr>
      <w:rFonts w:ascii="Tahoma" w:hAnsi="Tahoma" w:cs="Tahoma"/>
      <w:sz w:val="16"/>
      <w:szCs w:val="16"/>
      <w:lang w:eastAsia="en-US"/>
    </w:rPr>
  </w:style>
  <w:style w:type="character" w:styleId="Hipercze">
    <w:name w:val="Hyperlink"/>
    <w:uiPriority w:val="99"/>
    <w:unhideWhenUsed/>
    <w:rsid w:val="002641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D51A9-F79E-654A-BA0E-3AF3C7C5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409</Words>
  <Characters>2336</Characters>
  <Application>Microsoft Macintosh Word</Application>
  <DocSecurity>0</DocSecurity>
  <Lines>19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Łuczak</dc:creator>
  <cp:lastModifiedBy>Bartosz Walter</cp:lastModifiedBy>
  <cp:revision>9</cp:revision>
  <cp:lastPrinted>2011-09-09T13:20:00Z</cp:lastPrinted>
  <dcterms:created xsi:type="dcterms:W3CDTF">2011-11-06T11:33:00Z</dcterms:created>
  <dcterms:modified xsi:type="dcterms:W3CDTF">2013-02-10T06:48:00Z</dcterms:modified>
</cp:coreProperties>
</file>