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0eb50d67dfa2611507736294214af39cbcc2dc4"/>
    <w:p>
      <w:pPr>
        <w:pStyle w:val="Heading1"/>
      </w:pPr>
      <w:r>
        <w:t xml:space="preserve">MRV Builder – Technical Architecture Presentation Guide</w:t>
      </w:r>
    </w:p>
    <w:bookmarkStart w:id="20" w:name="slide-1-introduction"/>
    <w:p>
      <w:pPr>
        <w:pStyle w:val="Heading2"/>
      </w:pPr>
      <w:r>
        <w:t xml:space="preserve">Slide 1 – Introduction</w:t>
      </w:r>
    </w:p>
    <w:p>
      <w:pPr>
        <w:pStyle w:val="FirstParagraph"/>
      </w:pPr>
      <w:r>
        <w:t xml:space="preserve">Good morning everyone.</w:t>
      </w:r>
    </w:p>
    <w:p>
      <w:pPr>
        <w:pStyle w:val="BodyText"/>
      </w:pPr>
      <w:r>
        <w:t xml:space="preserve">Today I will be presenting the MRV Builder, a metadata-driven automation engine that generates semantic artifacts for both Power BI and Databricks from a single MRV definition.</w:t>
      </w:r>
    </w:p>
    <w:p>
      <w:pPr>
        <w:pStyle w:val="BodyText"/>
      </w:pPr>
      <w:r>
        <w:t xml:space="preserve">Before discussing the architecture, it is important to understand what an MRV is.</w:t>
      </w:r>
    </w:p>
    <w:p>
      <w:pPr>
        <w:pStyle w:val="BodyText"/>
      </w:pPr>
      <w:r>
        <w:t xml:space="preserve">MRV stands for Market Risk View.</w:t>
      </w:r>
    </w:p>
    <w:p>
      <w:pPr>
        <w:pStyle w:val="BodyText"/>
      </w:pPr>
      <w:r>
        <w:t xml:space="preserve">Market Risk Views are the enterprise standard for defining risk metrics within the Market Risk platform. Each MRV represents a governed business calculation that combines risk measures, dimensional filters, and business rules to produce a consistent and reusable risk indicator.</w:t>
      </w:r>
    </w:p>
    <w:p>
      <w:pPr>
        <w:pStyle w:val="BodyText"/>
      </w:pPr>
      <w:r>
        <w:t xml:space="preserve">MRVs serve as the semantic foundation for risk reporting, analytics, reconciliation, and regulatory consumption across Power BI and Databricks.</w:t>
      </w:r>
    </w:p>
    <w:p>
      <w:pPr>
        <w:pStyle w:val="BodyText"/>
      </w:pPr>
      <w:r>
        <w:t xml:space="preserve">Because these metrics are business-critical and must remain consistent across multiple platforms, we needed an automated mechanism capable of generating and maintaining their implementations from a single source of truth.</w:t>
      </w:r>
    </w:p>
    <w:p>
      <w:pPr>
        <w:pStyle w:val="BodyText"/>
      </w:pPr>
      <w:r>
        <w:t xml:space="preserve">That is the purpose of the MRV Builder.</w:t>
      </w:r>
    </w:p>
    <w:p>
      <w:r>
        <w:pict>
          <v:rect style="width:0;height:1.5pt" o:hralign="center" o:hrstd="t" o:hr="t"/>
        </w:pict>
      </w:r>
    </w:p>
    <w:bookmarkEnd w:id="20"/>
    <w:bookmarkStart w:id="21" w:name="slide-2-problem-statement"/>
    <w:p>
      <w:pPr>
        <w:pStyle w:val="Heading2"/>
      </w:pPr>
      <w:r>
        <w:t xml:space="preserve">Slide 2 – Problem Statement</w:t>
      </w:r>
    </w:p>
    <w:p>
      <w:pPr>
        <w:pStyle w:val="FirstParagraph"/>
      </w:pPr>
      <w:r>
        <w:t xml:space="preserve">Historically, MRVs needed to be implemented independently in each technology platform.</w:t>
      </w:r>
    </w:p>
    <w:p>
      <w:pPr>
        <w:pStyle w:val="BodyText"/>
      </w:pPr>
      <w:r>
        <w:t xml:space="preserve">This created several challenges.</w:t>
      </w:r>
    </w:p>
    <w:p>
      <w:pPr>
        <w:pStyle w:val="BodyText"/>
      </w:pPr>
      <w:r>
        <w:t xml:space="preserve">First, business logic had to be duplicated across systems.</w:t>
      </w:r>
    </w:p>
    <w:p>
      <w:pPr>
        <w:pStyle w:val="BodyText"/>
      </w:pPr>
      <w:r>
        <w:t xml:space="preserve">Second, maintenance costs increased because every change required updates in multiple locations.</w:t>
      </w:r>
    </w:p>
    <w:p>
      <w:pPr>
        <w:pStyle w:val="BodyText"/>
      </w:pPr>
      <w:r>
        <w:t xml:space="preserve">Third, there was a risk of semantic drift, where the same MRV could produce different results depending on the platform being used.</w:t>
      </w:r>
    </w:p>
    <w:p>
      <w:pPr>
        <w:pStyle w:val="BodyText"/>
      </w:pPr>
      <w:r>
        <w:t xml:space="preserve">Finally, scaling the platform became increasingly difficult as the number of MRVs continued to grow.</w:t>
      </w:r>
    </w:p>
    <w:p>
      <w:pPr>
        <w:pStyle w:val="BodyText"/>
      </w:pPr>
      <w:r>
        <w:t xml:space="preserve">The objective of the MRV Builder is to eliminate these problems by generating semantic implementations automatically from centralized metadata.</w:t>
      </w:r>
    </w:p>
    <w:p>
      <w:r>
        <w:pict>
          <v:rect style="width:0;height:1.5pt" o:hralign="center" o:hrstd="t" o:hr="t"/>
        </w:pict>
      </w:r>
    </w:p>
    <w:bookmarkEnd w:id="21"/>
    <w:bookmarkStart w:id="25" w:name="slide-3-design-principles"/>
    <w:p>
      <w:pPr>
        <w:pStyle w:val="Heading2"/>
      </w:pPr>
      <w:r>
        <w:t xml:space="preserve">Slide 3 – Design Principles</w:t>
      </w:r>
    </w:p>
    <w:p>
      <w:pPr>
        <w:pStyle w:val="FirstParagraph"/>
      </w:pPr>
      <w:r>
        <w:t xml:space="preserve">The MRV Builder is based on three key architectural principles.</w:t>
      </w:r>
    </w:p>
    <w:bookmarkStart w:id="22" w:name="single-source-of-truth"/>
    <w:p>
      <w:pPr>
        <w:pStyle w:val="Heading3"/>
      </w:pPr>
      <w:r>
        <w:t xml:space="preserve">Single Source of Truth</w:t>
      </w:r>
    </w:p>
    <w:p>
      <w:pPr>
        <w:pStyle w:val="FirstParagraph"/>
      </w:pPr>
      <w:r>
        <w:t xml:space="preserve">All MRV definitions are maintained within the CubIQ Metadata Catalog.</w:t>
      </w:r>
    </w:p>
    <w:p>
      <w:pPr>
        <w:pStyle w:val="BodyText"/>
      </w:pPr>
      <w:r>
        <w:t xml:space="preserve">This repository contains the authoritative definition of every MRV, including filters, dimensions, calculations, business rules, and mappings.</w:t>
      </w:r>
    </w:p>
    <w:bookmarkEnd w:id="22"/>
    <w:bookmarkStart w:id="23" w:name="metadata-driven-architecture"/>
    <w:p>
      <w:pPr>
        <w:pStyle w:val="Heading3"/>
      </w:pPr>
      <w:r>
        <w:t xml:space="preserve">Metadata-Driven Architecture</w:t>
      </w:r>
    </w:p>
    <w:p>
      <w:pPr>
        <w:pStyle w:val="FirstParagraph"/>
      </w:pPr>
      <w:r>
        <w:t xml:space="preserve">The system is driven entirely by metadata rather than manually written implementations.</w:t>
      </w:r>
    </w:p>
    <w:p>
      <w:pPr>
        <w:pStyle w:val="BodyText"/>
      </w:pPr>
      <w:r>
        <w:t xml:space="preserve">Business users define the intent, while the platform generates the technical artifacts.</w:t>
      </w:r>
    </w:p>
    <w:bookmarkEnd w:id="23"/>
    <w:bookmarkStart w:id="24" w:name="multi-platform-semantic-generation"/>
    <w:p>
      <w:pPr>
        <w:pStyle w:val="Heading3"/>
      </w:pPr>
      <w:r>
        <w:t xml:space="preserve">Multi-Platform Semantic Generation</w:t>
      </w:r>
    </w:p>
    <w:p>
      <w:pPr>
        <w:pStyle w:val="FirstParagraph"/>
      </w:pPr>
      <w:r>
        <w:t xml:space="preserve">The same MRV definition is used to generate implementations for multiple semantic platforms.</w:t>
      </w:r>
    </w:p>
    <w:p>
      <w:pPr>
        <w:pStyle w:val="BodyText"/>
      </w:pPr>
      <w:r>
        <w:t xml:space="preserve">Today those platforms are:</w:t>
      </w:r>
    </w:p>
    <w:p>
      <w:pPr>
        <w:pStyle w:val="Compact"/>
        <w:numPr>
          <w:ilvl w:val="0"/>
          <w:numId w:val="1001"/>
        </w:numPr>
      </w:pPr>
      <w:r>
        <w:t xml:space="preserve">Power BI Semantic Models</w:t>
      </w:r>
    </w:p>
    <w:p>
      <w:pPr>
        <w:pStyle w:val="Compact"/>
        <w:numPr>
          <w:ilvl w:val="0"/>
          <w:numId w:val="1001"/>
        </w:numPr>
      </w:pPr>
      <w:r>
        <w:t xml:space="preserve">Databricks Metric Views</w:t>
      </w:r>
    </w:p>
    <w:p>
      <w:pPr>
        <w:pStyle w:val="FirstParagraph"/>
      </w:pPr>
      <w:r>
        <w:t xml:space="preserve">This ensures semantic consistency across the ecosystem.</w:t>
      </w:r>
    </w:p>
    <w:p>
      <w:r>
        <w:pict>
          <v:rect style="width:0;height:1.5pt" o:hralign="center" o:hrstd="t" o:hr="t"/>
        </w:pict>
      </w:r>
    </w:p>
    <w:bookmarkEnd w:id="24"/>
    <w:bookmarkEnd w:id="25"/>
    <w:bookmarkStart w:id="26" w:name="slide-4-architecture-overview"/>
    <w:p>
      <w:pPr>
        <w:pStyle w:val="Heading2"/>
      </w:pPr>
      <w:r>
        <w:t xml:space="preserve">Slide 4 – Architecture Overview</w:t>
      </w:r>
    </w:p>
    <w:p>
      <w:pPr>
        <w:pStyle w:val="FirstParagraph"/>
      </w:pPr>
      <w:r>
        <w:t xml:space="preserve">Let us now walk through the architecture.</w:t>
      </w:r>
    </w:p>
    <w:p>
      <w:pPr>
        <w:pStyle w:val="BodyText"/>
      </w:pPr>
      <w:r>
        <w:t xml:space="preserve">On the left side we have the CubIQ Metadata Catalog.</w:t>
      </w:r>
    </w:p>
    <w:p>
      <w:pPr>
        <w:pStyle w:val="BodyText"/>
      </w:pPr>
      <w:r>
        <w:t xml:space="preserve">This serves as the authoritative source for MRV definitions and all supporting metadata.</w:t>
      </w:r>
    </w:p>
    <w:p>
      <w:pPr>
        <w:pStyle w:val="BodyText"/>
      </w:pPr>
      <w:r>
        <w:t xml:space="preserve">The center of the architecture contains the MRV Builder Automation Engine, implemented as a .NET service running within our platform infrastructure.</w:t>
      </w:r>
    </w:p>
    <w:p>
      <w:pPr>
        <w:pStyle w:val="BodyText"/>
      </w:pPr>
      <w:r>
        <w:t xml:space="preserve">The engine executes a processing pipeline that transforms metadata into generation-ready semantic artifacts.</w:t>
      </w:r>
    </w:p>
    <w:p>
      <w:pPr>
        <w:pStyle w:val="BodyText"/>
      </w:pPr>
      <w:r>
        <w:t xml:space="preserve">On the right side we have the outputs generated by the system.</w:t>
      </w:r>
    </w:p>
    <w:p>
      <w:pPr>
        <w:pStyle w:val="BodyText"/>
      </w:pPr>
      <w:r>
        <w:t xml:space="preserve">These outputs are:</w:t>
      </w:r>
    </w:p>
    <w:p>
      <w:pPr>
        <w:pStyle w:val="Compact"/>
        <w:numPr>
          <w:ilvl w:val="0"/>
          <w:numId w:val="1002"/>
        </w:numPr>
      </w:pPr>
      <w:r>
        <w:t xml:space="preserve">DAX measures for Power BI Semantic Models</w:t>
      </w:r>
    </w:p>
    <w:p>
      <w:pPr>
        <w:pStyle w:val="Compact"/>
        <w:numPr>
          <w:ilvl w:val="0"/>
          <w:numId w:val="1002"/>
        </w:numPr>
      </w:pPr>
      <w:r>
        <w:t xml:space="preserve">Metric Views for the Databricks Semantic Layer</w:t>
      </w:r>
    </w:p>
    <w:p>
      <w:pPr>
        <w:pStyle w:val="FirstParagraph"/>
      </w:pPr>
      <w:r>
        <w:t xml:space="preserve">The key point is that both outputs originate from the same validated MRV definition.</w:t>
      </w:r>
    </w:p>
    <w:p>
      <w:r>
        <w:pict>
          <v:rect style="width:0;height:1.5pt" o:hralign="center" o:hrstd="t" o:hr="t"/>
        </w:pict>
      </w:r>
    </w:p>
    <w:bookmarkEnd w:id="26"/>
    <w:bookmarkStart w:id="27" w:name="slide-5-step-1-metadata-reader"/>
    <w:p>
      <w:pPr>
        <w:pStyle w:val="Heading2"/>
      </w:pPr>
      <w:r>
        <w:t xml:space="preserve">Slide 5 – Step 1: Metadata Reader</w:t>
      </w:r>
    </w:p>
    <w:p>
      <w:pPr>
        <w:pStyle w:val="FirstParagraph"/>
      </w:pPr>
      <w:r>
        <w:t xml:space="preserve">The first component is the Metadata Reader.</w:t>
      </w:r>
    </w:p>
    <w:p>
      <w:pPr>
        <w:pStyle w:val="BodyText"/>
      </w:pPr>
      <w:r>
        <w:t xml:space="preserve">Its responsibility is to retrieve all information required for generation.</w:t>
      </w:r>
    </w:p>
    <w:p>
      <w:pPr>
        <w:pStyle w:val="BodyText"/>
      </w:pPr>
      <w:r>
        <w:t xml:space="preserve">This includes:</w:t>
      </w:r>
    </w:p>
    <w:p>
      <w:pPr>
        <w:pStyle w:val="Compact"/>
        <w:numPr>
          <w:ilvl w:val="0"/>
          <w:numId w:val="1003"/>
        </w:numPr>
      </w:pPr>
      <w:r>
        <w:t xml:space="preserve">MRV definitions</w:t>
      </w:r>
    </w:p>
    <w:p>
      <w:pPr>
        <w:pStyle w:val="Compact"/>
        <w:numPr>
          <w:ilvl w:val="0"/>
          <w:numId w:val="1003"/>
        </w:numPr>
      </w:pPr>
      <w:r>
        <w:t xml:space="preserve">Measure groups</w:t>
      </w:r>
    </w:p>
    <w:p>
      <w:pPr>
        <w:pStyle w:val="Compact"/>
        <w:numPr>
          <w:ilvl w:val="0"/>
          <w:numId w:val="1003"/>
        </w:numPr>
      </w:pPr>
      <w:r>
        <w:t xml:space="preserve">Filter definitions</w:t>
      </w:r>
    </w:p>
    <w:p>
      <w:pPr>
        <w:pStyle w:val="Compact"/>
        <w:numPr>
          <w:ilvl w:val="0"/>
          <w:numId w:val="1003"/>
        </w:numPr>
      </w:pPr>
      <w:r>
        <w:t xml:space="preserve">Dimension mappings</w:t>
      </w:r>
    </w:p>
    <w:p>
      <w:pPr>
        <w:pStyle w:val="Compact"/>
        <w:numPr>
          <w:ilvl w:val="0"/>
          <w:numId w:val="1003"/>
        </w:numPr>
      </w:pPr>
      <w:r>
        <w:t xml:space="preserve">Calculation metadata</w:t>
      </w:r>
    </w:p>
    <w:p>
      <w:pPr>
        <w:pStyle w:val="Compact"/>
        <w:numPr>
          <w:ilvl w:val="0"/>
          <w:numId w:val="1003"/>
        </w:numPr>
      </w:pPr>
      <w:r>
        <w:t xml:space="preserve">Relationship metadata</w:t>
      </w:r>
    </w:p>
    <w:p>
      <w:pPr>
        <w:pStyle w:val="FirstParagraph"/>
      </w:pPr>
      <w:r>
        <w:t xml:space="preserve">At this stage, no business logic is executed.</w:t>
      </w:r>
    </w:p>
    <w:p>
      <w:pPr>
        <w:pStyle w:val="BodyText"/>
      </w:pPr>
      <w:r>
        <w:t xml:space="preserve">The objective is simply to load all required metadata into memory.</w:t>
      </w:r>
    </w:p>
    <w:p>
      <w:r>
        <w:pict>
          <v:rect style="width:0;height:1.5pt" o:hralign="center" o:hrstd="t" o:hr="t"/>
        </w:pict>
      </w:r>
    </w:p>
    <w:bookmarkEnd w:id="27"/>
    <w:bookmarkStart w:id="28" w:name="slide-6-step-2-mrv-validation-engine"/>
    <w:p>
      <w:pPr>
        <w:pStyle w:val="Heading2"/>
      </w:pPr>
      <w:r>
        <w:t xml:space="preserve">Slide 6 – Step 2: MRV Validation Engine</w:t>
      </w:r>
    </w:p>
    <w:p>
      <w:pPr>
        <w:pStyle w:val="FirstParagraph"/>
      </w:pPr>
      <w:r>
        <w:t xml:space="preserve">The next component is the MRV Validation Engine.</w:t>
      </w:r>
    </w:p>
    <w:p>
      <w:pPr>
        <w:pStyle w:val="BodyText"/>
      </w:pPr>
      <w:r>
        <w:t xml:space="preserve">This stage performs structural and semantic validation.</w:t>
      </w:r>
    </w:p>
    <w:p>
      <w:pPr>
        <w:pStyle w:val="BodyText"/>
      </w:pPr>
      <w:r>
        <w:t xml:space="preserve">Examples include:</w:t>
      </w:r>
    </w:p>
    <w:p>
      <w:pPr>
        <w:pStyle w:val="Compact"/>
        <w:numPr>
          <w:ilvl w:val="0"/>
          <w:numId w:val="1004"/>
        </w:numPr>
      </w:pPr>
      <w:r>
        <w:t xml:space="preserve">Missing dimension mappings</w:t>
      </w:r>
    </w:p>
    <w:p>
      <w:pPr>
        <w:pStyle w:val="Compact"/>
        <w:numPr>
          <w:ilvl w:val="0"/>
          <w:numId w:val="1004"/>
        </w:numPr>
      </w:pPr>
      <w:r>
        <w:t xml:space="preserve">Invalid references</w:t>
      </w:r>
    </w:p>
    <w:p>
      <w:pPr>
        <w:pStyle w:val="Compact"/>
        <w:numPr>
          <w:ilvl w:val="0"/>
          <w:numId w:val="1004"/>
        </w:numPr>
      </w:pPr>
      <w:r>
        <w:t xml:space="preserve">Missing dependencies</w:t>
      </w:r>
    </w:p>
    <w:p>
      <w:pPr>
        <w:pStyle w:val="Compact"/>
        <w:numPr>
          <w:ilvl w:val="0"/>
          <w:numId w:val="1004"/>
        </w:numPr>
      </w:pPr>
      <w:r>
        <w:t xml:space="preserve">Invalid filter definitions</w:t>
      </w:r>
    </w:p>
    <w:p>
      <w:pPr>
        <w:pStyle w:val="Compact"/>
        <w:numPr>
          <w:ilvl w:val="0"/>
          <w:numId w:val="1004"/>
        </w:numPr>
      </w:pPr>
      <w:r>
        <w:t xml:space="preserve">Circular dependencies</w:t>
      </w:r>
    </w:p>
    <w:p>
      <w:pPr>
        <w:pStyle w:val="FirstParagraph"/>
      </w:pPr>
      <w:r>
        <w:t xml:space="preserve">The purpose of this stage is to ensure that invalid definitions are detected before generation begins.</w:t>
      </w:r>
    </w:p>
    <w:p>
      <w:pPr>
        <w:pStyle w:val="BodyText"/>
      </w:pPr>
      <w:r>
        <w:t xml:space="preserve">This improves reliability and prevents invalid artifacts from being produced.</w:t>
      </w:r>
    </w:p>
    <w:p>
      <w:r>
        <w:pict>
          <v:rect style="width:0;height:1.5pt" o:hralign="center" o:hrstd="t" o:hr="t"/>
        </w:pict>
      </w:r>
    </w:p>
    <w:bookmarkEnd w:id="28"/>
    <w:bookmarkStart w:id="29" w:name="slide-7-step-3-business-rule-processor"/>
    <w:p>
      <w:pPr>
        <w:pStyle w:val="Heading2"/>
      </w:pPr>
      <w:r>
        <w:t xml:space="preserve">Slide 7 – Step 3: Business Rule Processor</w:t>
      </w:r>
    </w:p>
    <w:p>
      <w:pPr>
        <w:pStyle w:val="FirstParagraph"/>
      </w:pPr>
      <w:r>
        <w:t xml:space="preserve">The Business Rule Processor applies platform and domain-specific standardization rules.</w:t>
      </w:r>
    </w:p>
    <w:p>
      <w:pPr>
        <w:pStyle w:val="BodyText"/>
      </w:pPr>
      <w:r>
        <w:t xml:space="preserve">Examples include:</w:t>
      </w:r>
    </w:p>
    <w:p>
      <w:pPr>
        <w:pStyle w:val="Compact"/>
        <w:numPr>
          <w:ilvl w:val="0"/>
          <w:numId w:val="1005"/>
        </w:numPr>
      </w:pPr>
      <w:r>
        <w:t xml:space="preserve">Naming conventions</w:t>
      </w:r>
    </w:p>
    <w:p>
      <w:pPr>
        <w:pStyle w:val="Compact"/>
        <w:numPr>
          <w:ilvl w:val="0"/>
          <w:numId w:val="1005"/>
        </w:numPr>
      </w:pPr>
      <w:r>
        <w:t xml:space="preserve">Folder organization</w:t>
      </w:r>
    </w:p>
    <w:p>
      <w:pPr>
        <w:pStyle w:val="Compact"/>
        <w:numPr>
          <w:ilvl w:val="0"/>
          <w:numId w:val="1005"/>
        </w:numPr>
      </w:pPr>
      <w:r>
        <w:t xml:space="preserve">Measure formatting</w:t>
      </w:r>
    </w:p>
    <w:p>
      <w:pPr>
        <w:pStyle w:val="Compact"/>
        <w:numPr>
          <w:ilvl w:val="0"/>
          <w:numId w:val="1005"/>
        </w:numPr>
      </w:pPr>
      <w:r>
        <w:t xml:space="preserve">Standard filter handling</w:t>
      </w:r>
    </w:p>
    <w:p>
      <w:pPr>
        <w:pStyle w:val="Compact"/>
        <w:numPr>
          <w:ilvl w:val="0"/>
          <w:numId w:val="1005"/>
        </w:numPr>
      </w:pPr>
      <w:r>
        <w:t xml:space="preserve">Business-specific transformations</w:t>
      </w:r>
    </w:p>
    <w:p>
      <w:pPr>
        <w:pStyle w:val="FirstParagraph"/>
      </w:pPr>
      <w:r>
        <w:t xml:space="preserve">This ensures that generated artifacts conform to enterprise standards and remain consistent across implementations.</w:t>
      </w:r>
    </w:p>
    <w:p>
      <w:r>
        <w:pict>
          <v:rect style="width:0;height:1.5pt" o:hralign="center" o:hrstd="t" o:hr="t"/>
        </w:pict>
      </w:r>
    </w:p>
    <w:bookmarkEnd w:id="29"/>
    <w:bookmarkStart w:id="30" w:name="slide-8-step-4-mrv-definition-compiler"/>
    <w:p>
      <w:pPr>
        <w:pStyle w:val="Heading2"/>
      </w:pPr>
      <w:r>
        <w:t xml:space="preserve">Slide 8 – Step 4: MRV Definition Compiler</w:t>
      </w:r>
    </w:p>
    <w:p>
      <w:pPr>
        <w:pStyle w:val="FirstParagraph"/>
      </w:pPr>
      <w:r>
        <w:t xml:space="preserve">This is the most important component from an architectural perspective.</w:t>
      </w:r>
    </w:p>
    <w:p>
      <w:pPr>
        <w:pStyle w:val="BodyText"/>
      </w:pPr>
      <w:r>
        <w:t xml:space="preserve">The MRV Definition Compiler transforms validated metadata into generation-ready definitions.</w:t>
      </w:r>
    </w:p>
    <w:p>
      <w:pPr>
        <w:pStyle w:val="BodyText"/>
      </w:pPr>
      <w:r>
        <w:t xml:space="preserve">Rather than allowing each generator to interpret raw metadata independently, we compile the metadata into a canonical representation first.</w:t>
      </w:r>
    </w:p>
    <w:p>
      <w:pPr>
        <w:pStyle w:val="BodyText"/>
      </w:pPr>
      <w:r>
        <w:t xml:space="preserve">This provides several benefits.</w:t>
      </w:r>
    </w:p>
    <w:p>
      <w:pPr>
        <w:pStyle w:val="BodyText"/>
      </w:pPr>
      <w:r>
        <w:t xml:space="preserve">First, business logic is implemented once.</w:t>
      </w:r>
    </w:p>
    <w:p>
      <w:pPr>
        <w:pStyle w:val="BodyText"/>
      </w:pPr>
      <w:r>
        <w:t xml:space="preserve">Second, semantic interpretation remains consistent.</w:t>
      </w:r>
    </w:p>
    <w:p>
      <w:pPr>
        <w:pStyle w:val="BodyText"/>
      </w:pPr>
      <w:r>
        <w:t xml:space="preserve">Third, maintenance becomes significantly simpler.</w:t>
      </w:r>
    </w:p>
    <w:p>
      <w:pPr>
        <w:pStyle w:val="BodyText"/>
      </w:pPr>
      <w:r>
        <w:t xml:space="preserve">The compiler effectively acts as an abstraction layer between metadata and platform-specific generators.</w:t>
      </w:r>
    </w:p>
    <w:p>
      <w:pPr>
        <w:pStyle w:val="BodyText"/>
      </w:pPr>
      <w:r>
        <w:t xml:space="preserve">This is similar to how a traditional software compiler transforms source code into an intermediate representation before producing executable outputs.</w:t>
      </w:r>
    </w:p>
    <w:p>
      <w:r>
        <w:pict>
          <v:rect style="width:0;height:1.5pt" o:hralign="center" o:hrstd="t" o:hr="t"/>
        </w:pict>
      </w:r>
    </w:p>
    <w:bookmarkEnd w:id="30"/>
    <w:bookmarkStart w:id="31" w:name="slide-9-parallel-generation"/>
    <w:p>
      <w:pPr>
        <w:pStyle w:val="Heading2"/>
      </w:pPr>
      <w:r>
        <w:t xml:space="preserve">Slide 9 – Parallel Generation</w:t>
      </w:r>
    </w:p>
    <w:p>
      <w:pPr>
        <w:pStyle w:val="FirstParagraph"/>
      </w:pPr>
      <w:r>
        <w:t xml:space="preserve">Once compilation completes, generation occurs in parallel.</w:t>
      </w:r>
    </w:p>
    <w:p>
      <w:pPr>
        <w:pStyle w:val="BodyText"/>
      </w:pPr>
      <w:r>
        <w:t xml:space="preserve">The DAX Measure Generator produces semantic artifacts for Power BI.</w:t>
      </w:r>
    </w:p>
    <w:p>
      <w:pPr>
        <w:pStyle w:val="BodyText"/>
      </w:pPr>
      <w:r>
        <w:t xml:space="preserve">Examples include:</w:t>
      </w:r>
    </w:p>
    <w:p>
      <w:pPr>
        <w:pStyle w:val="Compact"/>
        <w:numPr>
          <w:ilvl w:val="0"/>
          <w:numId w:val="1006"/>
        </w:numPr>
      </w:pPr>
      <w:r>
        <w:t xml:space="preserve">DAX measures</w:t>
      </w:r>
    </w:p>
    <w:p>
      <w:pPr>
        <w:pStyle w:val="Compact"/>
        <w:numPr>
          <w:ilvl w:val="0"/>
          <w:numId w:val="1006"/>
        </w:numPr>
      </w:pPr>
      <w:r>
        <w:t xml:space="preserve">Calculation groups</w:t>
      </w:r>
    </w:p>
    <w:p>
      <w:pPr>
        <w:pStyle w:val="Compact"/>
        <w:numPr>
          <w:ilvl w:val="0"/>
          <w:numId w:val="1006"/>
        </w:numPr>
      </w:pPr>
      <w:r>
        <w:t xml:space="preserve">Model annotations</w:t>
      </w:r>
    </w:p>
    <w:p>
      <w:pPr>
        <w:pStyle w:val="Compact"/>
        <w:numPr>
          <w:ilvl w:val="0"/>
          <w:numId w:val="1006"/>
        </w:numPr>
      </w:pPr>
      <w:r>
        <w:t xml:space="preserve">TOM or TMDL artifacts</w:t>
      </w:r>
    </w:p>
    <w:p>
      <w:pPr>
        <w:pStyle w:val="FirstParagraph"/>
      </w:pPr>
      <w:r>
        <w:t xml:space="preserve">At the same time, the Metric View Generator produces semantic artifacts for Databricks.</w:t>
      </w:r>
    </w:p>
    <w:p>
      <w:pPr>
        <w:pStyle w:val="BodyText"/>
      </w:pPr>
      <w:r>
        <w:t xml:space="preserve">Examples include:</w:t>
      </w:r>
    </w:p>
    <w:p>
      <w:pPr>
        <w:pStyle w:val="Compact"/>
        <w:numPr>
          <w:ilvl w:val="0"/>
          <w:numId w:val="1007"/>
        </w:numPr>
      </w:pPr>
      <w:r>
        <w:t xml:space="preserve">Metric View definitions</w:t>
      </w:r>
    </w:p>
    <w:p>
      <w:pPr>
        <w:pStyle w:val="Compact"/>
        <w:numPr>
          <w:ilvl w:val="0"/>
          <w:numId w:val="1007"/>
        </w:numPr>
      </w:pPr>
      <w:r>
        <w:t xml:space="preserve">SQL expressions</w:t>
      </w:r>
    </w:p>
    <w:p>
      <w:pPr>
        <w:pStyle w:val="Compact"/>
        <w:numPr>
          <w:ilvl w:val="0"/>
          <w:numId w:val="1007"/>
        </w:numPr>
      </w:pPr>
      <w:r>
        <w:t xml:space="preserve">YAML configurations</w:t>
      </w:r>
    </w:p>
    <w:p>
      <w:pPr>
        <w:pStyle w:val="Compact"/>
        <w:numPr>
          <w:ilvl w:val="0"/>
          <w:numId w:val="1007"/>
        </w:numPr>
      </w:pPr>
      <w:r>
        <w:t xml:space="preserve">Semantic metadata</w:t>
      </w:r>
    </w:p>
    <w:p>
      <w:pPr>
        <w:pStyle w:val="FirstParagraph"/>
      </w:pPr>
      <w:r>
        <w:t xml:space="preserve">Because both generators consume the same compiled representation, they produce semantically equivalent implementations.</w:t>
      </w:r>
    </w:p>
    <w:p>
      <w:pPr>
        <w:pStyle w:val="BodyText"/>
      </w:pPr>
      <w:r>
        <w:t xml:space="preserve">This is one of the most important architectural characteristics of the solution.</w:t>
      </w:r>
    </w:p>
    <w:p>
      <w:pPr>
        <w:pStyle w:val="BodyText"/>
      </w:pPr>
      <w:r>
        <w:t xml:space="preserve">One business definition results in multiple platform implementations while maintaining consistency.</w:t>
      </w:r>
    </w:p>
    <w:p>
      <w:r>
        <w:pict>
          <v:rect style="width:0;height:1.5pt" o:hralign="center" o:hrstd="t" o:hr="t"/>
        </w:pict>
      </w:r>
    </w:p>
    <w:bookmarkEnd w:id="31"/>
    <w:bookmarkStart w:id="32" w:name="slide-10-artifact-assembly-layer"/>
    <w:p>
      <w:pPr>
        <w:pStyle w:val="Heading2"/>
      </w:pPr>
      <w:r>
        <w:t xml:space="preserve">Slide 10 – Artifact Assembly Layer</w:t>
      </w:r>
    </w:p>
    <w:p>
      <w:pPr>
        <w:pStyle w:val="FirstParagraph"/>
      </w:pPr>
      <w:r>
        <w:t xml:space="preserve">After generation completes, artifacts are passed to the Artifact Assembly Layer.</w:t>
      </w:r>
    </w:p>
    <w:p>
      <w:pPr>
        <w:pStyle w:val="BodyText"/>
      </w:pPr>
      <w:r>
        <w:t xml:space="preserve">Its responsibility is to organize and package generated artifacts into standardized outputs.</w:t>
      </w:r>
    </w:p>
    <w:p>
      <w:pPr>
        <w:pStyle w:val="BodyText"/>
      </w:pPr>
      <w:r>
        <w:t xml:space="preserve">It is important to note that the MRV Builder does not deploy artifacts.</w:t>
      </w:r>
    </w:p>
    <w:p>
      <w:pPr>
        <w:pStyle w:val="BodyText"/>
      </w:pPr>
      <w:r>
        <w:t xml:space="preserve">Deployment remains the responsibility of downstream processes.</w:t>
      </w:r>
    </w:p>
    <w:p>
      <w:pPr>
        <w:pStyle w:val="BodyText"/>
      </w:pPr>
      <w:r>
        <w:t xml:space="preserve">The MRV Builder’s responsibility ends once valid semantic artifacts have been produced and assembled.</w:t>
      </w:r>
    </w:p>
    <w:p>
      <w:r>
        <w:pict>
          <v:rect style="width:0;height:1.5pt" o:hralign="center" o:hrstd="t" o:hr="t"/>
        </w:pict>
      </w:r>
    </w:p>
    <w:bookmarkEnd w:id="32"/>
    <w:bookmarkStart w:id="37" w:name="slide-11-benefits-of-the-architecture"/>
    <w:p>
      <w:pPr>
        <w:pStyle w:val="Heading2"/>
      </w:pPr>
      <w:r>
        <w:t xml:space="preserve">Slide 11 – Benefits of the Architecture</w:t>
      </w:r>
    </w:p>
    <w:p>
      <w:pPr>
        <w:pStyle w:val="FirstParagraph"/>
      </w:pPr>
      <w:r>
        <w:t xml:space="preserve">This architecture provides several significant advantages.</w:t>
      </w:r>
    </w:p>
    <w:bookmarkStart w:id="33" w:name="consistency"/>
    <w:p>
      <w:pPr>
        <w:pStyle w:val="Heading3"/>
      </w:pPr>
      <w:r>
        <w:t xml:space="preserve">Consistency</w:t>
      </w:r>
    </w:p>
    <w:p>
      <w:pPr>
        <w:pStyle w:val="FirstParagraph"/>
      </w:pPr>
      <w:r>
        <w:t xml:space="preserve">All platforms are generated from a single business definition.</w:t>
      </w:r>
    </w:p>
    <w:bookmarkEnd w:id="33"/>
    <w:bookmarkStart w:id="34" w:name="scalability"/>
    <w:p>
      <w:pPr>
        <w:pStyle w:val="Heading3"/>
      </w:pPr>
      <w:r>
        <w:t xml:space="preserve">Scalability</w:t>
      </w:r>
    </w:p>
    <w:p>
      <w:pPr>
        <w:pStyle w:val="FirstParagraph"/>
      </w:pPr>
      <w:r>
        <w:t xml:space="preserve">Thousands of MRVs can be generated automatically.</w:t>
      </w:r>
    </w:p>
    <w:bookmarkEnd w:id="34"/>
    <w:bookmarkStart w:id="35" w:name="maintainability"/>
    <w:p>
      <w:pPr>
        <w:pStyle w:val="Heading3"/>
      </w:pPr>
      <w:r>
        <w:t xml:space="preserve">Maintainability</w:t>
      </w:r>
    </w:p>
    <w:p>
      <w:pPr>
        <w:pStyle w:val="FirstParagraph"/>
      </w:pPr>
      <w:r>
        <w:t xml:space="preserve">Business logic is centralized and managed through metadata.</w:t>
      </w:r>
    </w:p>
    <w:bookmarkEnd w:id="35"/>
    <w:bookmarkStart w:id="36" w:name="extensibility"/>
    <w:p>
      <w:pPr>
        <w:pStyle w:val="Heading3"/>
      </w:pPr>
      <w:r>
        <w:t xml:space="preserve">Extensibility</w:t>
      </w:r>
    </w:p>
    <w:p>
      <w:pPr>
        <w:pStyle w:val="FirstParagraph"/>
      </w:pPr>
      <w:r>
        <w:t xml:space="preserve">Additional generators can be added in the future without redesigning the core architecture.</w:t>
      </w:r>
    </w:p>
    <w:p>
      <w:pPr>
        <w:pStyle w:val="BodyText"/>
      </w:pPr>
      <w:r>
        <w:t xml:space="preserve">Potential future targets could include:</w:t>
      </w:r>
    </w:p>
    <w:p>
      <w:pPr>
        <w:pStyle w:val="Compact"/>
        <w:numPr>
          <w:ilvl w:val="0"/>
          <w:numId w:val="1008"/>
        </w:numPr>
      </w:pPr>
      <w:r>
        <w:t xml:space="preserve">Fabric semantic assets</w:t>
      </w:r>
    </w:p>
    <w:p>
      <w:pPr>
        <w:pStyle w:val="Compact"/>
        <w:numPr>
          <w:ilvl w:val="0"/>
          <w:numId w:val="1008"/>
        </w:numPr>
      </w:pPr>
      <w:r>
        <w:t xml:space="preserve">Additional SQL engines</w:t>
      </w:r>
    </w:p>
    <w:p>
      <w:pPr>
        <w:pStyle w:val="Compact"/>
        <w:numPr>
          <w:ilvl w:val="0"/>
          <w:numId w:val="1008"/>
        </w:numPr>
      </w:pPr>
      <w:r>
        <w:t xml:space="preserve">API-based semantic services</w:t>
      </w:r>
    </w:p>
    <w:p>
      <w:pPr>
        <w:pStyle w:val="Compact"/>
        <w:numPr>
          <w:ilvl w:val="0"/>
          <w:numId w:val="1008"/>
        </w:numPr>
      </w:pPr>
      <w:r>
        <w:t xml:space="preserve">Other analytical platforms</w:t>
      </w:r>
    </w:p>
    <w:p>
      <w:r>
        <w:pict>
          <v:rect style="width:0;height:1.5pt" o:hralign="center" o:hrstd="t" o:hr="t"/>
        </w:pict>
      </w:r>
    </w:p>
    <w:bookmarkEnd w:id="36"/>
    <w:bookmarkEnd w:id="37"/>
    <w:bookmarkStart w:id="38" w:name="closing-statement"/>
    <w:p>
      <w:pPr>
        <w:pStyle w:val="Heading2"/>
      </w:pPr>
      <w:r>
        <w:t xml:space="preserve">Closing Statement</w:t>
      </w:r>
    </w:p>
    <w:p>
      <w:pPr>
        <w:pStyle w:val="FirstParagraph"/>
      </w:pPr>
      <w:r>
        <w:t xml:space="preserve">To summarize:</w:t>
      </w:r>
    </w:p>
    <w:p>
      <w:pPr>
        <w:pStyle w:val="BodyText"/>
      </w:pPr>
      <w:r>
        <w:t xml:space="preserve">The MRV Builder transforms MRV implementation from a manual development activity into a metadata-driven compilation process.</w:t>
      </w:r>
    </w:p>
    <w:p>
      <w:pPr>
        <w:pStyle w:val="BodyText"/>
      </w:pPr>
      <w:r>
        <w:t xml:space="preserve">By introducing a centralized metadata catalog, a canonical MRV Definition Compiler, and parallel semantic generators, we ensure semantic consistency between Power BI and Databricks while reducing maintenance effort, improving governance, and accelerating delivery across the Market Risk platform.</w:t>
      </w:r>
    </w:p>
    <w:p>
      <w:pPr>
        <w:pStyle w:val="BodyText"/>
      </w:pPr>
      <w:r>
        <w:t xml:space="preserve">Thank you.</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2026-06-01T12:49:06Z</dcterms:created>
  <dcterms:modified xsi:type="dcterms:W3CDTF">2026-06-01T12:49:06Z</dcterms:modified>
</cp:coreProperties>
</file>

<file path=docProps/custom.xml><?xml version="1.0" encoding="utf-8"?>
<Properties xmlns="http://schemas.openxmlformats.org/officeDocument/2006/custom-properties" xmlns:vt="http://schemas.openxmlformats.org/officeDocument/2006/docPropsVTypes"/>
</file>