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MRV Studio &amp; MRV Maintenance - Design Specification</w:t>
      </w:r>
    </w:p>
    <w:p>
      <w:r>
        <w:t>Professional functional, workflow, UX and architecture specification.</w:t>
      </w:r>
    </w:p>
    <w:p>
      <w:pPr>
        <w:pStyle w:val="Heading1"/>
      </w:pPr>
      <w:r>
        <w:t>Executive Summary</w:t>
      </w:r>
    </w:p>
    <w:p>
      <w:r>
        <w:t>MRV Studio is the cloud-native replacement for the legacy MRD/SSAS workflow.</w:t>
      </w:r>
    </w:p>
    <w:p>
      <w:pPr>
        <w:pStyle w:val="Heading1"/>
      </w:pPr>
      <w:r>
        <w:t>Business Context</w:t>
      </w:r>
    </w:p>
    <w:p>
      <w:r>
        <w:t>MRVs are business-defined metrics implemented in Power BI and Databricks.</w:t>
      </w:r>
    </w:p>
    <w:p>
      <w:pPr>
        <w:pStyle w:val="Heading1"/>
      </w:pPr>
      <w:r>
        <w:t>Current and Future State</w:t>
      </w:r>
    </w:p>
    <w:p>
      <w:r>
        <w:t>Legacy: Excel→MRD→Oracle→MDX Builder→SSAS. Future: MRV UI→SQL MI→MRV Builder→Power BI/Databricks.</w:t>
      </w:r>
    </w:p>
    <w:p>
      <w:pPr>
        <w:pStyle w:val="Heading1"/>
      </w:pPr>
      <w:r>
        <w:t>Core Concepts</w:t>
      </w:r>
    </w:p>
    <w:p>
      <w:r>
        <w:t>Measure Groups are reusable. Asset Class belongs to MRV Definitions. Custom MRVs may reference other MRVs.</w:t>
      </w:r>
    </w:p>
    <w:p>
      <w:pPr>
        <w:pStyle w:val="Heading1"/>
      </w:pPr>
      <w:r>
        <w:t>MRV Studio UX</w:t>
      </w:r>
    </w:p>
    <w:p>
      <w:r>
        <w:t>Left panel 50/50 split. Preview, Logic and Generated Code tabs. Inline validation.</w:t>
      </w:r>
    </w:p>
    <w:p>
      <w:pPr>
        <w:pStyle w:val="Heading1"/>
      </w:pPr>
      <w:r>
        <w:t>Preview Workflow</w:t>
      </w:r>
    </w:p>
    <w:p>
      <w:r>
        <w:t>CoB Date required for preview. Value mode returns scalar. Breakdown mode requires Slice By.</w:t>
      </w:r>
    </w:p>
    <w:p>
      <w:pPr>
        <w:pStyle w:val="Heading1"/>
      </w:pPr>
      <w:r>
        <w:t>Metadata Simplification</w:t>
      </w:r>
    </w:p>
    <w:p>
      <w:r>
        <w:t>Remove or simplify SSAS-specific concepts such as aggregation points and MDX ordering.</w:t>
      </w:r>
    </w:p>
    <w:p>
      <w:pPr>
        <w:pStyle w:val="Heading1"/>
      </w:pPr>
      <w:r>
        <w:t>Final Decisions</w:t>
      </w:r>
    </w:p>
    <w:p>
      <w:r>
        <w:t>Filters appear only once. Display Folder derived automatically. Measure Groups do not own Asset Class.</w:t>
      </w:r>
    </w:p>
    <w:p>
      <w:pPr>
        <w:pStyle w:val="Heading1"/>
      </w:pPr>
      <w:r>
        <w:t>Target Architecture Diagram</w:t>
      </w:r>
    </w:p>
    <w:p>
      <w:r>
        <w:drawing>
          <wp:inline xmlns:a="http://schemas.openxmlformats.org/drawingml/2006/main" xmlns:pic="http://schemas.openxmlformats.org/drawingml/2006/picture">
            <wp:extent cx="5029200" cy="22107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v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07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