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1042988" cy="10429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2988" cy="104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734050" cy="76200"/>
            <wp:effectExtent b="0" l="0" r="0" t="0"/>
            <wp:docPr descr="línea horizontal" id="1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695d46"/>
          <w:sz w:val="84"/>
          <w:szCs w:val="84"/>
        </w:rPr>
      </w:pPr>
      <w:bookmarkStart w:colFirst="0" w:colLast="0" w:name="_2gazcsgmxkub" w:id="0"/>
      <w:bookmarkEnd w:id="0"/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84"/>
          <w:szCs w:val="84"/>
          <w:rtl w:val="0"/>
        </w:rPr>
        <w:t xml:space="preserve">Evaluación de elementos de configuración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Auditores: Nombre1, nombre2, etc.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Baseline a evaluar: &lt;Vostok | Voyager | Impulse&gt;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Fecha: 23/09/2019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Elementos a Evaluar: &lt;ID del elemento de configuración&gt;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ID - Nombre del elemento</w:t>
      </w:r>
    </w:p>
    <w:p w:rsidR="00000000" w:rsidDel="00000000" w:rsidP="00000000" w:rsidRDefault="00000000" w:rsidRPr="00000000" w14:paraId="0000000A">
      <w:pPr>
        <w:spacing w:before="12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Inconsistencias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12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faltas de consistencia en cuanto a: definición y mantenimiento de dependencias, formato  y nivel de control adecuado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br w:type="textWrapping"/>
        <w:t xml:space="preserve">Desviación del proceso/producto: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12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NC1: Descripción acerca de la inconsistencia en el elemento de configuración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NC2: Descripción acerca de la inconsistencia en el elemento de configuración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NC3: Descripción acerca de la inconsistencia en el elemento de configuración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…</w:t>
      </w:r>
    </w:p>
    <w:p w:rsidR="00000000" w:rsidDel="00000000" w:rsidP="00000000" w:rsidRDefault="00000000" w:rsidRPr="00000000" w14:paraId="00000010">
      <w:pPr>
        <w:spacing w:before="12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2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Sugerencias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br w:type="textWrapping"/>
        <w:t xml:space="preserve">Sugerencias de los auditores para los procesos/productos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12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AO1:  Descripción de las posibles mejoras en los elementos de configuración.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AO2:  Descripción de las posibles mejoras en los elementos de configuración.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AO3:  Descripción de las posibles mejoras en los elementos de configuración.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…</w:t>
      </w:r>
    </w:p>
    <w:p w:rsidR="00000000" w:rsidDel="00000000" w:rsidP="00000000" w:rsidRDefault="00000000" w:rsidRPr="00000000" w14:paraId="00000016">
      <w:pPr>
        <w:spacing w:before="120" w:line="288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2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Comentarios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2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Ideas o diálogo entre auditores e involucrados (team members, team leaders, etc)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12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C1: Comentario entre auditores e involucrados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C2: Comentario entre auditores e involucrados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C3: Comentario entre auditores e involucrados </w:t>
      </w:r>
    </w:p>
    <w:p w:rsidR="00000000" w:rsidDel="00000000" w:rsidP="00000000" w:rsidRDefault="00000000" w:rsidRPr="00000000" w14:paraId="0000001C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hckiy1pylo52" w:id="1"/>
      <w:bookmarkEnd w:id="1"/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Bitácora</w:t>
      </w:r>
    </w:p>
    <w:p w:rsidR="00000000" w:rsidDel="00000000" w:rsidP="00000000" w:rsidRDefault="00000000" w:rsidRPr="00000000" w14:paraId="0000001D">
      <w:pPr>
        <w:spacing w:before="180" w:line="331.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666666"/>
          <w:sz w:val="24"/>
          <w:szCs w:val="24"/>
          <w:rtl w:val="0"/>
        </w:rPr>
        <w:t xml:space="preserve">Fecha  →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Fecha en cuando se trabajó en el documento.</w:t>
      </w:r>
    </w:p>
    <w:p w:rsidR="00000000" w:rsidDel="00000000" w:rsidP="00000000" w:rsidRDefault="00000000" w:rsidRPr="00000000" w14:paraId="0000001E">
      <w:pPr>
        <w:spacing w:before="180" w:line="331.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666666"/>
          <w:sz w:val="24"/>
          <w:szCs w:val="24"/>
          <w:rtl w:val="0"/>
        </w:rPr>
        <w:t xml:space="preserve">Versión →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nueva versión del documento.</w:t>
      </w:r>
    </w:p>
    <w:p w:rsidR="00000000" w:rsidDel="00000000" w:rsidP="00000000" w:rsidRDefault="00000000" w:rsidRPr="00000000" w14:paraId="0000001F">
      <w:pPr>
        <w:spacing w:before="180" w:line="331.2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color w:val="666666"/>
          <w:sz w:val="24"/>
          <w:szCs w:val="24"/>
          <w:rtl w:val="0"/>
        </w:rPr>
        <w:t xml:space="preserve">Descripción→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Breve descripción del cambio.</w:t>
      </w:r>
    </w:p>
    <w:p w:rsidR="00000000" w:rsidDel="00000000" w:rsidP="00000000" w:rsidRDefault="00000000" w:rsidRPr="00000000" w14:paraId="00000020">
      <w:pPr>
        <w:spacing w:before="120" w:line="288" w:lineRule="auto"/>
        <w:rPr/>
      </w:pPr>
      <w:r w:rsidDel="00000000" w:rsidR="00000000" w:rsidRPr="00000000">
        <w:rPr>
          <w:rFonts w:ascii="Nova Mono" w:cs="Nova Mono" w:eastAsia="Nova Mono" w:hAnsi="Nova Mono"/>
          <w:color w:val="666666"/>
          <w:sz w:val="24"/>
          <w:szCs w:val="24"/>
          <w:rtl w:val="0"/>
        </w:rPr>
        <w:t xml:space="preserve">Aprobado por:  →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Nombre del encargado de revisar el cambio y aprobarlo.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95d46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95d46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95d46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color w:val="695d4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695d46"/>
                <w:rtl w:val="0"/>
              </w:rPr>
              <w:t xml:space="preserve">Revisado por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695d4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ans Narrow">
    <w:embedRegular w:fontKey="{00000000-0000-0000-0000-000000000000}" r:id="rId5" w:subsetted="0"/>
    <w:embedBold w:fontKey="{00000000-0000-0000-0000-000000000000}" r:id="rId6" w:subsetted="0"/>
  </w:font>
  <w:font w:name="Nova Mono">
    <w:embedRegular w:fontKey="{00000000-0000-0000-0000-000000000000}" r:id="rId7" w:subsetted="0"/>
  </w:font>
  <w:font w:name="Open Sans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spacing w:line="288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boldItalic.ttf"/><Relationship Id="rId10" Type="http://schemas.openxmlformats.org/officeDocument/2006/relationships/font" Target="fonts/OpenSans-italic.ttf"/><Relationship Id="rId9" Type="http://schemas.openxmlformats.org/officeDocument/2006/relationships/font" Target="fonts/OpenSans-bold.ttf"/><Relationship Id="rId5" Type="http://schemas.openxmlformats.org/officeDocument/2006/relationships/font" Target="fonts/PTSansNarrow-regular.ttf"/><Relationship Id="rId6" Type="http://schemas.openxmlformats.org/officeDocument/2006/relationships/font" Target="fonts/PTSansNarrow-bold.ttf"/><Relationship Id="rId7" Type="http://schemas.openxmlformats.org/officeDocument/2006/relationships/font" Target="fonts/NovaMono-regular.ttf"/><Relationship Id="rId8" Type="http://schemas.openxmlformats.org/officeDocument/2006/relationships/font" Target="fonts/OpenSan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