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740FF">
      <w:pPr>
        <w:pStyle w:val="31"/>
        <w:jc w:val="center"/>
      </w:pPr>
      <w:r>
        <w:rPr>
          <w:rFonts w:ascii="微软雅黑" w:hAnsi="微软雅黑" w:eastAsia="微软雅黑"/>
          <w:b/>
          <w:color w:val="000000"/>
          <w:sz w:val="48"/>
        </w:rPr>
        <w:t>404NOTFOUND 系统设计说明书</w:t>
      </w:r>
    </w:p>
    <w:p w14:paraId="1831AE59">
      <w:pPr>
        <w:jc w:val="center"/>
      </w:pPr>
      <w:r>
        <w:rPr>
          <w:rFonts w:ascii="微软雅黑" w:hAnsi="微软雅黑" w:eastAsia="微软雅黑"/>
          <w:color w:val="000000"/>
          <w:sz w:val="24"/>
        </w:rPr>
        <w:t xml:space="preserve">第三次团队作业 </w:t>
      </w:r>
      <w:r>
        <w:rPr>
          <w:rFonts w:hint="eastAsia"/>
          <w:color w:val="000000"/>
          <w:sz w:val="24"/>
          <w:lang w:val="en-US" w:eastAsia="zh-CN"/>
        </w:rPr>
        <w:t>v1.1</w:t>
      </w:r>
      <w:bookmarkStart w:id="0" w:name="_GoBack"/>
      <w:bookmarkEnd w:id="0"/>
      <w:r>
        <w:rPr>
          <w:rFonts w:ascii="微软雅黑" w:hAnsi="微软雅黑" w:eastAsia="微软雅黑"/>
          <w:color w:val="000000"/>
          <w:sz w:val="24"/>
        </w:rPr>
        <w:t xml:space="preserve"> 2026-10-21</w:t>
      </w:r>
    </w:p>
    <w:p w14:paraId="37B38F43">
      <w:r>
        <w:br w:type="page"/>
      </w:r>
    </w:p>
    <w:p w14:paraId="23C3ECD2">
      <w:pPr>
        <w:pStyle w:val="3"/>
      </w:pPr>
      <w:r>
        <w:t>1. 编写目的与依据</w:t>
      </w:r>
    </w:p>
    <w:p w14:paraId="6E1EFB86">
      <w:pPr>
        <w:spacing w:after="100" w:line="300" w:lineRule="auto"/>
      </w:pPr>
      <w:r>
        <w:rPr>
          <w:rFonts w:ascii="微软雅黑" w:hAnsi="微软雅黑" w:eastAsia="微软雅黑"/>
        </w:rPr>
        <w:t>本文整合 404NOTFOUND 第三次团队作业的总体架构、领域结构、接口边界、数据协作、安全、异常和部署设计。它不重复各专业稿的全部字段，而是给出跨稿关系、关键决策和可追踪入口。</w:t>
      </w:r>
    </w:p>
    <w:p w14:paraId="26752210">
      <w:pPr>
        <w:spacing w:after="100" w:line="300" w:lineRule="auto"/>
      </w:pPr>
      <w:r>
        <w:rPr>
          <w:rFonts w:ascii="微软雅黑" w:hAnsi="微软雅黑" w:eastAsia="微软雅黑"/>
        </w:rPr>
        <w:t>依据按用途使用，不采用简单的“旧文档可以覆盖新决定”的优先级表述：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129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9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360F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  <w:tc>
          <w:tcPr>
            <w:tcW w:w="319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1565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约束用途</w:t>
            </w:r>
          </w:p>
        </w:tc>
        <w:tc>
          <w:tcPr>
            <w:tcW w:w="319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657A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冲突处理</w:t>
            </w:r>
          </w:p>
        </w:tc>
      </w:tr>
      <w:tr w14:paraId="0CF2D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5E76D">
            <w:pPr>
              <w:spacing w:after="0" w:line="252" w:lineRule="auto"/>
            </w:pPr>
            <w:r>
              <w:rPr>
                <w:rFonts w:ascii="微软雅黑" w:hAnsi="微软雅黑" w:eastAsia="微软雅黑"/>
                <w:color w:val="000000"/>
                <w:sz w:val="18"/>
                <w:u w:val="single"/>
              </w:rPr>
              <w:t>需求范围 v0.3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9BCC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约束六模块、REQ01～REQ17及明确排除项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BEC0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业务范围变更必须另立版本，不由技术稿自行扩展</w:t>
            </w:r>
          </w:p>
        </w:tc>
      </w:tr>
      <w:tr w14:paraId="10005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0FA41">
            <w:pPr>
              <w:spacing w:after="0" w:line="252" w:lineRule="auto"/>
            </w:pPr>
            <w:r>
              <w:rPr>
                <w:rFonts w:ascii="微软雅黑" w:hAnsi="微软雅黑" w:eastAsia="微软雅黑"/>
                <w:color w:val="000000"/>
                <w:sz w:val="18"/>
                <w:u w:val="single"/>
              </w:rPr>
              <w:t>技术决策与 Agent 接入基线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82BF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约束当前批准的实现方向、技术栈、认证和部署基线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A12D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覆盖历史材料中的端侧仓储、旧密码长度和单代次等方向</w:t>
            </w:r>
          </w:p>
        </w:tc>
      </w:tr>
      <w:tr w14:paraId="4B0AF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C6A35">
            <w:pPr>
              <w:spacing w:after="0" w:line="252" w:lineRule="auto"/>
            </w:pPr>
            <w:r>
              <w:rPr>
                <w:rFonts w:ascii="微软雅黑" w:hAnsi="微软雅黑" w:eastAsia="微软雅黑"/>
                <w:color w:val="000000"/>
                <w:sz w:val="18"/>
                <w:u w:val="single"/>
              </w:rPr>
              <w:t>完整设计类图 v1.2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BA30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约束当前领域类、应用服务、端口、关系和多重性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8483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v1.1 仅作为结构来源和变更追溯，不能推翻 v1.2 已批准增量</w:t>
            </w:r>
          </w:p>
        </w:tc>
      </w:tr>
      <w:tr w14:paraId="6600B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FDE46">
            <w:pPr>
              <w:spacing w:after="0" w:line="252" w:lineRule="auto"/>
            </w:pPr>
            <w:r>
              <w:rPr>
                <w:rFonts w:ascii="微软雅黑" w:hAnsi="微软雅黑" w:eastAsia="微软雅黑"/>
                <w:color w:val="000000"/>
                <w:sz w:val="18"/>
                <w:u w:val="single"/>
              </w:rPr>
              <w:t>09号全功能接口与限制规范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1B30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约束 HTTP 方法、路径、字段、错误、限额与任务状态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A710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是 HTTP 唯一来源；本稿不散落复制全套 DTO</w:t>
            </w:r>
          </w:p>
        </w:tc>
      </w:tr>
      <w:tr w14:paraId="3ED2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CB20C">
            <w:pPr>
              <w:spacing w:after="0" w:line="252" w:lineRule="auto"/>
            </w:pPr>
            <w:r>
              <w:rPr>
                <w:rFonts w:ascii="微软雅黑" w:hAnsi="微软雅黑" w:eastAsia="微软雅黑"/>
                <w:color w:val="000000"/>
                <w:sz w:val="18"/>
                <w:u w:val="single"/>
              </w:rPr>
              <w:t>数据库设计说明书 v0.2</w:t>
            </w:r>
            <w:r>
              <w:rPr>
                <w:rFonts w:ascii="微软雅黑" w:hAnsi="微软雅黑" w:eastAsia="微软雅黑"/>
                <w:sz w:val="18"/>
              </w:rPr>
              <w:t>及</w:t>
            </w:r>
            <w:r>
              <w:rPr>
                <w:rFonts w:ascii="微软雅黑" w:hAnsi="微软雅黑" w:eastAsia="微软雅黑"/>
                <w:color w:val="000000"/>
                <w:sz w:val="18"/>
                <w:u w:val="single"/>
              </w:rPr>
              <w:t>DDL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9BCC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约束持久化模型、约束、索引、生命周期和恢复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C493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须与 09 号及类图按变更表同步</w:t>
            </w:r>
          </w:p>
        </w:tc>
      </w:tr>
      <w:tr w14:paraId="0928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96A00">
            <w:pPr>
              <w:spacing w:after="0" w:line="252" w:lineRule="auto"/>
            </w:pPr>
            <w:r>
              <w:rPr>
                <w:rFonts w:ascii="微软雅黑" w:hAnsi="微软雅黑" w:eastAsia="微软雅黑"/>
                <w:color w:val="000000"/>
                <w:sz w:val="18"/>
                <w:u w:val="single"/>
              </w:rPr>
              <w:t>前端设计章节</w:t>
            </w:r>
            <w:r>
              <w:rPr>
                <w:rFonts w:ascii="微软雅黑" w:hAnsi="微软雅黑" w:eastAsia="微软雅黑"/>
                <w:sz w:val="18"/>
              </w:rPr>
              <w:t>及</w:t>
            </w:r>
            <w:r>
              <w:rPr>
                <w:rFonts w:ascii="微软雅黑" w:hAnsi="微软雅黑" w:eastAsia="微软雅黑"/>
                <w:color w:val="000000"/>
                <w:sz w:val="18"/>
                <w:u w:val="single"/>
              </w:rPr>
              <w:t>关键状态与时序图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1C57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约束客户端状态、资源释放、入口适配和接口消费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CD7B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不得反向新增 HTTP 字段；差异进入变更表</w:t>
            </w:r>
          </w:p>
        </w:tc>
      </w:tr>
    </w:tbl>
    <w:p w14:paraId="76E92F2C">
      <w:pPr>
        <w:spacing w:after="40"/>
      </w:pPr>
    </w:p>
    <w:p w14:paraId="253FDA5A">
      <w:pPr>
        <w:pStyle w:val="3"/>
      </w:pPr>
      <w:r>
        <w:t>2. 范围与设计状态</w:t>
      </w:r>
    </w:p>
    <w:p w14:paraId="314C3650">
      <w:pPr>
        <w:spacing w:after="100" w:line="300" w:lineRule="auto"/>
      </w:pPr>
      <w:r>
        <w:rPr>
          <w:rFonts w:ascii="微软雅黑" w:hAnsi="微软雅黑" w:eastAsia="微软雅黑"/>
        </w:rPr>
        <w:t>系统覆盖 REQ01～REQ17；不包含漂流瓶、公开主页、社交关系、账号注销、忘记/重置密码或默认跨入口同步。仓库当前包含设计材料和 React/Vite 演示原型；Node.js/Express、PostgreSQL、LangChain、REST 契约和安全措施属于目标设计，尚不能描述为已上线。</w:t>
      </w:r>
    </w:p>
    <w:p w14:paraId="7866E4BE">
      <w:pPr>
        <w:spacing w:after="100" w:line="300" w:lineRule="auto"/>
      </w:pPr>
      <w:r>
        <w:rPr>
          <w:rFonts w:ascii="微软雅黑" w:hAnsi="微软雅黑" w:eastAsia="微软雅黑"/>
          <w:b/>
        </w:rPr>
        <w:t>关联专业稿与图号：</w:t>
      </w:r>
      <w:r>
        <w:rPr>
          <w:rFonts w:ascii="微软雅黑" w:hAnsi="微软雅黑" w:eastAsia="微软雅黑"/>
        </w:rPr>
        <w:t xml:space="preserve"> 需求覆盖见需求追踪表；功能流程见前端稿；总体部署边界见图 1。</w:t>
      </w:r>
    </w:p>
    <w:p w14:paraId="0C875EA4">
      <w:pPr>
        <w:pStyle w:val="3"/>
      </w:pPr>
      <w:r>
        <w:t>3. 总体架构</w:t>
      </w:r>
    </w:p>
    <w:p w14:paraId="70092900">
      <w:pPr>
        <w:spacing w:after="100" w:line="300" w:lineRule="auto"/>
      </w:pPr>
      <w:r>
        <w:rPr>
          <w:rFonts w:ascii="微软雅黑" w:hAnsi="微软雅黑" w:eastAsia="微软雅黑"/>
        </w:rPr>
        <w:t>系统采用模块化单体。Web、Electron 与微信适配层进入 Express 接入与安全层；应用层包含认证、资料、记录、房间、任务协调和 Agent 门面；领域层维护账号、会话、活动、记录、授权和策略；端口连接 PostgreSQL、LangChain 模型适配器和固定检索供应商。</w:t>
      </w:r>
    </w:p>
    <w:p w14:paraId="65464E63">
      <w:pPr>
        <w:spacing w:after="100" w:line="300" w:lineRule="auto"/>
      </w:pPr>
      <w:r>
        <w:rPr>
          <w:rFonts w:ascii="微软雅黑" w:hAnsi="微软雅黑" w:eastAsia="微软雅黑"/>
        </w:rPr>
        <w:t>图 1 为总体系统架构，源文件见</w:t>
      </w:r>
      <w:r>
        <w:rPr>
          <w:rFonts w:ascii="微软雅黑" w:hAnsi="微软雅黑" w:eastAsia="微软雅黑"/>
          <w:color w:val="000000"/>
          <w:u w:val="single"/>
        </w:rPr>
        <w:t>系统架构图</w:t>
      </w:r>
      <w:r>
        <w:rPr>
          <w:rFonts w:ascii="微软雅黑" w:hAnsi="微软雅黑" w:eastAsia="微软雅黑"/>
        </w:rPr>
        <w:t>。REQ14 是独立端侧旁路，正文不得进入认证上下文、业务会话、网络、数据库、模型、搜索、日志、遥测或崩溃附件。</w:t>
      </w:r>
    </w:p>
    <w:p w14:paraId="4EF6FB67">
      <w:pPr>
        <w:spacing w:after="100" w:line="300" w:lineRule="auto"/>
      </w:pPr>
      <w:r>
        <w:rPr>
          <w:rFonts w:ascii="微软雅黑" w:hAnsi="微软雅黑" w:eastAsia="微软雅黑"/>
          <w:b/>
        </w:rPr>
        <w:t>关联专业稿与图号：</w:t>
      </w:r>
      <w:r>
        <w:rPr>
          <w:rFonts w:ascii="微软雅黑" w:hAnsi="微软雅黑" w:eastAsia="微软雅黑"/>
        </w:rPr>
        <w:t xml:space="preserve"> 前端组件关系见前端《组件关系图》；数据边界见数据库稿第 2～3 章；安全边界见本稿第 10 章。</w:t>
      </w:r>
    </w:p>
    <w:p w14:paraId="63B4B8CD">
      <w:pPr>
        <w:pStyle w:val="3"/>
      </w:pPr>
      <w:r>
        <w:t>4. 技术与部署基线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64D3F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19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CC01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w="319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CCA5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已批准方向</w:t>
            </w:r>
          </w:p>
        </w:tc>
        <w:tc>
          <w:tcPr>
            <w:tcW w:w="319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98A5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未完成验证</w:t>
            </w:r>
          </w:p>
        </w:tc>
      </w:tr>
      <w:tr w14:paraId="4F1EE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2E33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Web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240B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React + Vite + JavaScript/JSX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2B94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共享 Schema 与页面真实联调</w:t>
            </w:r>
          </w:p>
        </w:tc>
      </w:tr>
      <w:tr w14:paraId="7EF8C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07BB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服务端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E303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Node.js + Express 模块化单体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470B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运行服务、压测和故障验证</w:t>
            </w:r>
          </w:p>
        </w:tc>
      </w:tr>
      <w:tr w14:paraId="35CB5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EA9E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校验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57BB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共享 Zod 严格 Schema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CB1C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浏览器与服务端实际共同引用</w:t>
            </w:r>
          </w:p>
        </w:tc>
      </w:tr>
      <w:tr w14:paraId="7F95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E331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18D5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PostgreSQL + </w:t>
            </w:r>
            <w:r>
              <w:rPr>
                <w:rFonts w:ascii="Consolas" w:hAnsi="Consolas" w:eastAsia="Consolas"/>
                <w:color w:val="505050"/>
                <w:sz w:val="18"/>
              </w:rPr>
              <w:t>pg</w:t>
            </w:r>
            <w:r>
              <w:rPr>
                <w:rFonts w:ascii="微软雅黑" w:hAnsi="微软雅黑" w:eastAsia="微软雅黑"/>
                <w:sz w:val="18"/>
              </w:rPr>
              <w:t xml:space="preserve"> + SQL migration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6E9E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DDL 执行、迁移、回滚及恢复演练</w:t>
            </w:r>
          </w:p>
        </w:tc>
      </w:tr>
      <w:tr w14:paraId="0B074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A866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Agent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CB4A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LangChain JS；</w:t>
            </w:r>
            <w:r>
              <w:rPr>
                <w:rFonts w:ascii="Consolas" w:hAnsi="Consolas" w:eastAsia="Consolas"/>
                <w:color w:val="505050"/>
                <w:sz w:val="18"/>
              </w:rPr>
              <w:t>LangChainModelAdapter</w:t>
            </w:r>
            <w:r>
              <w:rPr>
                <w:rFonts w:ascii="微软雅黑" w:hAnsi="微软雅黑" w:eastAsia="微软雅黑"/>
                <w:sz w:val="18"/>
              </w:rPr>
              <w:t xml:space="preserve"> 实现 </w:t>
            </w:r>
            <w:r>
              <w:rPr>
                <w:rFonts w:ascii="Consolas" w:hAnsi="Consolas" w:eastAsia="Consolas"/>
                <w:color w:val="505050"/>
                <w:sz w:val="18"/>
              </w:rPr>
              <w:t>AIClient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1AE4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模型厂商、版本、预算及真实调用</w:t>
            </w:r>
          </w:p>
        </w:tc>
      </w:tr>
      <w:tr w14:paraId="3A2C9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4BCC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入口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101D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Web 首发；Electron 先验证；微信适配/模拟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8C7A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原生能力与可信身份绑定</w:t>
            </w:r>
          </w:p>
        </w:tc>
      </w:tr>
    </w:tbl>
    <w:p w14:paraId="28B113DD">
      <w:pPr>
        <w:spacing w:after="40"/>
      </w:pPr>
    </w:p>
    <w:p w14:paraId="1A472C39">
      <w:pPr>
        <w:spacing w:after="100" w:line="300" w:lineRule="auto"/>
      </w:pPr>
      <w:r>
        <w:rPr>
          <w:rFonts w:ascii="微软雅黑" w:hAnsi="微软雅黑" w:eastAsia="微软雅黑"/>
          <w:b/>
        </w:rPr>
        <w:t>关联专业稿与图号：</w:t>
      </w:r>
      <w:r>
        <w:rPr>
          <w:rFonts w:ascii="微软雅黑" w:hAnsi="微软雅黑" w:eastAsia="微软雅黑"/>
        </w:rPr>
        <w:t xml:space="preserve"> 技术理由以技术决策台账 D01～D13 为准；Electron 边界见前端入口能力矩阵；数据库物理部署见数据库稿第 8 章。</w:t>
      </w:r>
    </w:p>
    <w:p w14:paraId="5128F4E9">
      <w:pPr>
        <w:pStyle w:val="3"/>
      </w:pPr>
      <w:r>
        <w:t>5. 模块职责与领域结构</w:t>
      </w:r>
    </w:p>
    <w:p w14:paraId="6A8DF5EF">
      <w:pPr>
        <w:pStyle w:val="16"/>
      </w:pPr>
      <w:r>
        <w:rPr>
          <w:rFonts w:ascii="Consolas" w:hAnsi="Consolas" w:eastAsia="Consolas"/>
          <w:color w:val="505050"/>
          <w:sz w:val="19"/>
        </w:rPr>
        <w:t>AuthService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505050"/>
          <w:sz w:val="19"/>
        </w:rPr>
        <w:t>ProfileService</w:t>
      </w:r>
      <w:r>
        <w:rPr>
          <w:rFonts w:ascii="微软雅黑" w:hAnsi="微软雅黑" w:eastAsia="微软雅黑"/>
        </w:rPr>
        <w:t>：注册、登录、退出、改密、资料与偏好。</w:t>
      </w:r>
    </w:p>
    <w:p w14:paraId="12DFED10">
      <w:pPr>
        <w:pStyle w:val="16"/>
      </w:pPr>
      <w:r>
        <w:rPr>
          <w:rFonts w:ascii="Consolas" w:hAnsi="Consolas" w:eastAsia="Consolas"/>
          <w:color w:val="505050"/>
          <w:sz w:val="19"/>
        </w:rPr>
        <w:t>TaskCoordinator</w:t>
      </w:r>
      <w:r>
        <w:rPr>
          <w:rFonts w:ascii="微软雅黑" w:hAnsi="微软雅黑" w:eastAsia="微软雅黑"/>
        </w:rPr>
        <w:t>：创建会话、切换活动、登记请求、取消并拦截迟到结果。</w:t>
      </w:r>
    </w:p>
    <w:p w14:paraId="295B0A53">
      <w:pPr>
        <w:pStyle w:val="16"/>
      </w:pPr>
      <w:r>
        <w:rPr>
          <w:rFonts w:ascii="Consolas" w:hAnsi="Consolas" w:eastAsia="Consolas"/>
          <w:color w:val="505050"/>
          <w:sz w:val="19"/>
        </w:rPr>
        <w:t>AgentApplicationService</w:t>
      </w:r>
      <w:r>
        <w:rPr>
          <w:rFonts w:ascii="微软雅黑" w:hAnsi="微软雅黑" w:eastAsia="微软雅黑"/>
        </w:rPr>
        <w:t>：承接 HTTP 任务信封，统一受理、轮询和取消。</w:t>
      </w:r>
    </w:p>
    <w:p w14:paraId="420C17CE">
      <w:pPr>
        <w:pStyle w:val="16"/>
      </w:pPr>
      <w:r>
        <w:rPr>
          <w:rFonts w:ascii="Consolas" w:hAnsi="Consolas" w:eastAsia="Consolas"/>
          <w:color w:val="505050"/>
          <w:sz w:val="19"/>
        </w:rPr>
        <w:t>AIProcessingService</w:t>
      </w:r>
      <w:r>
        <w:rPr>
          <w:rFonts w:ascii="微软雅黑" w:hAnsi="微软雅黑" w:eastAsia="微软雅黑"/>
        </w:rPr>
        <w:t xml:space="preserve">：按许可构造最小上下文，执行安全策略并调用 </w:t>
      </w:r>
      <w:r>
        <w:rPr>
          <w:rFonts w:ascii="Consolas" w:hAnsi="Consolas" w:eastAsia="Consolas"/>
          <w:color w:val="505050"/>
          <w:sz w:val="19"/>
        </w:rPr>
        <w:t>AIClient</w:t>
      </w:r>
      <w:r>
        <w:rPr>
          <w:rFonts w:ascii="微软雅黑" w:hAnsi="微软雅黑" w:eastAsia="微软雅黑"/>
        </w:rPr>
        <w:t>。</w:t>
      </w:r>
    </w:p>
    <w:p w14:paraId="3243FE88">
      <w:pPr>
        <w:pStyle w:val="16"/>
      </w:pPr>
      <w:r>
        <w:rPr>
          <w:rFonts w:ascii="Consolas" w:hAnsi="Consolas" w:eastAsia="Consolas"/>
          <w:color w:val="505050"/>
          <w:sz w:val="19"/>
        </w:rPr>
        <w:t>RecordService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505050"/>
          <w:sz w:val="19"/>
        </w:rPr>
        <w:t>RoomService</w:t>
      </w:r>
      <w:r>
        <w:rPr>
          <w:rFonts w:ascii="微软雅黑" w:hAnsi="微软雅黑" w:eastAsia="微软雅黑"/>
        </w:rPr>
        <w:t>：保存、读取、更新、清除及房间关联。</w:t>
      </w:r>
    </w:p>
    <w:p w14:paraId="162BAE8C">
      <w:pPr>
        <w:pStyle w:val="16"/>
      </w:pPr>
      <w:r>
        <w:rPr>
          <w:rFonts w:ascii="Consolas" w:hAnsi="Consolas" w:eastAsia="Consolas"/>
          <w:color w:val="505050"/>
          <w:sz w:val="19"/>
        </w:rPr>
        <w:t>AuthorizationPolicy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505050"/>
          <w:sz w:val="19"/>
        </w:rPr>
        <w:t>SafetyPolicy</w:t>
      </w:r>
      <w:r>
        <w:rPr>
          <w:rFonts w:ascii="微软雅黑" w:hAnsi="微软雅黑" w:eastAsia="微软雅黑"/>
        </w:rPr>
        <w:t>：校验账号、入口、对象版本、用途许可与回复边界。</w:t>
      </w:r>
    </w:p>
    <w:p w14:paraId="186A17D8">
      <w:pPr>
        <w:pStyle w:val="16"/>
      </w:pPr>
      <w:r>
        <w:rPr>
          <w:rFonts w:ascii="Consolas" w:hAnsi="Consolas" w:eastAsia="Consolas"/>
          <w:color w:val="505050"/>
          <w:sz w:val="19"/>
        </w:rPr>
        <w:t>IdempotencyService</w:t>
      </w:r>
      <w:r>
        <w:rPr>
          <w:rFonts w:ascii="微软雅黑" w:hAnsi="微软雅黑" w:eastAsia="微软雅黑"/>
        </w:rPr>
        <w:t>：登记持久写请求、比对载荷摘要并返回已提交结果。</w:t>
      </w:r>
    </w:p>
    <w:p w14:paraId="3404AEB0">
      <w:pPr>
        <w:spacing w:after="100" w:line="300" w:lineRule="auto"/>
      </w:pPr>
      <w:r>
        <w:rPr>
          <w:rFonts w:ascii="微软雅黑" w:hAnsi="微软雅黑" w:eastAsia="微软雅黑"/>
        </w:rPr>
        <w:t>领域结构以</w:t>
      </w:r>
      <w:r>
        <w:rPr>
          <w:rFonts w:ascii="微软雅黑" w:hAnsi="微软雅黑" w:eastAsia="微软雅黑"/>
          <w:color w:val="000000"/>
          <w:u w:val="single"/>
        </w:rPr>
        <w:t>完整设计类图 v1.2</w:t>
      </w:r>
      <w:r>
        <w:rPr>
          <w:rFonts w:ascii="微软雅黑" w:hAnsi="微软雅黑" w:eastAsia="微软雅黑"/>
        </w:rPr>
        <w:t>为准：图 2 账号与入口；图 3 业务活动；图 4 保存记录与授权；图 5 端侧互动；图 6 服务、端口与基础设施；图 7 接口数据类型。v1.1 只作为六张原图的历史来源。</w:t>
      </w:r>
    </w:p>
    <w:p w14:paraId="21049BE7">
      <w:pPr>
        <w:spacing w:after="100" w:line="300" w:lineRule="auto"/>
      </w:pPr>
      <w:r>
        <w:rPr>
          <w:rFonts w:ascii="微软雅黑" w:hAnsi="微软雅黑" w:eastAsia="微软雅黑"/>
          <w:b/>
        </w:rPr>
        <w:t>关联专业稿与图号：</w:t>
      </w:r>
      <w:r>
        <w:rPr>
          <w:rFonts w:ascii="微软雅黑" w:hAnsi="微软雅黑" w:eastAsia="微软雅黑"/>
        </w:rPr>
        <w:t xml:space="preserve"> 类表映射见</w:t>
      </w:r>
      <w:r>
        <w:rPr>
          <w:rFonts w:ascii="微软雅黑" w:hAnsi="微软雅黑" w:eastAsia="微软雅黑"/>
          <w:color w:val="000000"/>
          <w:u w:val="single"/>
        </w:rPr>
        <w:t>类表映射与检索契约</w:t>
      </w:r>
      <w:r>
        <w:rPr>
          <w:rFonts w:ascii="微软雅黑" w:hAnsi="微软雅黑" w:eastAsia="微软雅黑"/>
        </w:rPr>
        <w:t>；前端组件消费见前端《组件关系图》；HTTP 映射见本稿第 8 章。</w:t>
      </w:r>
    </w:p>
    <w:p w14:paraId="3C5DF8E3">
      <w:pPr>
        <w:pStyle w:val="3"/>
      </w:pPr>
      <w:r>
        <w:t>6. 临时态、授权与持久化边界</w:t>
      </w:r>
    </w:p>
    <w:p w14:paraId="5EC83614">
      <w:pPr>
        <w:spacing w:after="100" w:line="300" w:lineRule="auto"/>
      </w:pPr>
      <w:r>
        <w:rPr>
          <w:rFonts w:ascii="微软雅黑" w:hAnsi="微软雅黑" w:eastAsia="微软雅黑"/>
        </w:rPr>
        <w:t>陪伴、训练、排练、检索中间态和互动默认临时。只有用户主动确认且 SAVE 许可仍有效时，服务才持久化允许的记录。SAVE、AI_PROCESS 与 SEARCH_PROCESS 相互独立；登录、偏好或已保存记录不能隐式扩大用途。</w:t>
      </w:r>
    </w:p>
    <w:p w14:paraId="4CA801E8">
      <w:pPr>
        <w:spacing w:after="100" w:line="300" w:lineRule="auto"/>
      </w:pPr>
      <w:r>
        <w:rPr>
          <w:rFonts w:ascii="微软雅黑" w:hAnsi="微软雅黑" w:eastAsia="微软雅黑"/>
        </w:rPr>
        <w:t xml:space="preserve">所有权判定为账号 + 入口 + 对象版本 + 用途授权。客户端不能自报可信账号或入口。查询结果只有 </w:t>
      </w:r>
      <w:r>
        <w:rPr>
          <w:rFonts w:ascii="Consolas" w:hAnsi="Consolas" w:eastAsia="Consolas"/>
          <w:color w:val="505050"/>
          <w:sz w:val="19"/>
        </w:rPr>
        <w:t>SUCCESS</w:t>
      </w:r>
      <w:r>
        <w:rPr>
          <w:rFonts w:ascii="微软雅黑" w:hAnsi="微软雅黑" w:eastAsia="微软雅黑"/>
        </w:rPr>
        <w:t xml:space="preserve"> 且至少一项可核查来源时才可保存为 QUERY；REQ14 永不持久化。</w:t>
      </w:r>
    </w:p>
    <w:p w14:paraId="3F1FB0EF">
      <w:pPr>
        <w:spacing w:after="100" w:line="300" w:lineRule="auto"/>
      </w:pPr>
      <w:r>
        <w:rPr>
          <w:rFonts w:ascii="微软雅黑" w:hAnsi="微软雅黑" w:eastAsia="微软雅黑"/>
          <w:b/>
        </w:rPr>
        <w:t>关联专业稿与图号：</w:t>
      </w:r>
      <w:r>
        <w:rPr>
          <w:rFonts w:ascii="微软雅黑" w:hAnsi="微软雅黑" w:eastAsia="微软雅黑"/>
        </w:rPr>
        <w:t xml:space="preserve"> 数据分类与生命周期见数据库稿第 2、7 章；授权对象见图 4、图 6；端侧清理见前端关键状态图。</w:t>
      </w:r>
    </w:p>
    <w:p w14:paraId="4BFBB3AE">
      <w:pPr>
        <w:pStyle w:val="3"/>
      </w:pPr>
      <w:r>
        <w:t>7. 关键状态与一致性</w:t>
      </w:r>
    </w:p>
    <w:p w14:paraId="025E2423">
      <w:pPr>
        <w:pStyle w:val="5"/>
      </w:pPr>
      <w:r>
        <w:t>7.1 Agent 与 Search</w:t>
      </w:r>
    </w:p>
    <w:p w14:paraId="5A454E5B">
      <w:pPr>
        <w:spacing w:after="100" w:line="300" w:lineRule="auto"/>
      </w:pPr>
      <w:r>
        <w:rPr>
          <w:rFonts w:ascii="微软雅黑" w:hAnsi="微软雅黑" w:eastAsia="微软雅黑"/>
        </w:rPr>
        <w:t>任务结果必须同时匹配身份、入口、会话、活动和双代次。PAUSE、RESTART、FINISH_REHEARSAL、END、切换、撤销、退出或改密会使旧结果失效。取消成功后任务端点不再返回正文，即使供应商后来返回也不得回填。</w:t>
      </w:r>
    </w:p>
    <w:p w14:paraId="077D4915">
      <w:pPr>
        <w:pStyle w:val="5"/>
      </w:pPr>
      <w:r>
        <w:t>7.2 排练阶段映射（R03）</w:t>
      </w:r>
    </w:p>
    <w:p w14:paraId="5591391B">
      <w:pPr>
        <w:spacing w:after="100" w:line="300" w:lineRule="auto"/>
      </w:pPr>
      <w:r>
        <w:rPr>
          <w:rFonts w:ascii="微软雅黑" w:hAnsi="微软雅黑" w:eastAsia="微软雅黑"/>
        </w:rPr>
        <w:t>图 8 为排练阶段映射，详细状态图见</w:t>
      </w:r>
      <w:r>
        <w:rPr>
          <w:rFonts w:ascii="微软雅黑" w:hAnsi="微软雅黑" w:eastAsia="微软雅黑"/>
          <w:color w:val="000000"/>
          <w:u w:val="single"/>
        </w:rPr>
        <w:t>前端关键状态与时序图</w:t>
      </w:r>
      <w:r>
        <w:rPr>
          <w:rFonts w:ascii="微软雅黑" w:hAnsi="微软雅黑" w:eastAsia="微软雅黑"/>
        </w:rPr>
        <w:t xml:space="preserve">。阶段为 </w:t>
      </w:r>
      <w:r>
        <w:rPr>
          <w:rFonts w:ascii="Consolas" w:hAnsi="Consolas" w:eastAsia="Consolas"/>
          <w:color w:val="505050"/>
          <w:sz w:val="19"/>
        </w:rPr>
        <w:t>setup → ready → running ↔ paused → reviewing ↔ preview → saved → ended</w:t>
      </w:r>
      <w:r>
        <w:rPr>
          <w:rFonts w:ascii="微软雅黑" w:hAnsi="微软雅黑" w:eastAsia="微软雅黑"/>
        </w:rPr>
        <w:t>。FINISH_REHEARSAL 从 running/paused 进入 reviewing，停止角色回复、递增活动代次并仅保留本轮本人消息供选择；REHEARSAL_SUMMARIZE 成功后进入 preview；只有经 SAVE 许可且写结果已核实才进入 saved；END 才清理整轮临时内容。</w:t>
      </w:r>
    </w:p>
    <w:p w14:paraId="2D4F411B">
      <w:pPr>
        <w:pStyle w:val="5"/>
      </w:pPr>
      <w:r>
        <w:t>7.3 冲突状态读取（R02）</w:t>
      </w:r>
    </w:p>
    <w:p w14:paraId="5E79D320">
      <w:pPr>
        <w:spacing w:after="100" w:line="300" w:lineRule="auto"/>
      </w:pPr>
      <w:r>
        <w:rPr>
          <w:rFonts w:ascii="微软雅黑" w:hAnsi="微软雅黑" w:eastAsia="微软雅黑"/>
        </w:rPr>
        <w:t xml:space="preserve">Agent/Search 使用任务 GET；记录、房间、资料和偏好使用已有 GET 端点读取权威状态。会话动作 409 返回非正文 </w:t>
      </w:r>
      <w:r>
        <w:rPr>
          <w:rFonts w:ascii="Consolas" w:hAnsi="Consolas" w:eastAsia="Consolas"/>
          <w:color w:val="505050"/>
          <w:sz w:val="19"/>
        </w:rPr>
        <w:t>error.fields.current</w:t>
      </w:r>
      <w:r>
        <w:rPr>
          <w:rFonts w:ascii="微软雅黑" w:hAnsi="微软雅黑" w:eastAsia="微软雅黑"/>
        </w:rPr>
        <w:t>，包含当前 state、mode、活动 ID 与双代次。若无法取得权威状态，客户端保持安全停止，不猜测、不重放旧任务。</w:t>
      </w:r>
    </w:p>
    <w:p w14:paraId="567AEA85">
      <w:pPr>
        <w:spacing w:after="100" w:line="300" w:lineRule="auto"/>
      </w:pPr>
      <w:r>
        <w:rPr>
          <w:rFonts w:ascii="微软雅黑" w:hAnsi="微软雅黑" w:eastAsia="微软雅黑"/>
          <w:b/>
        </w:rPr>
        <w:t>关联专业稿与图号：</w:t>
      </w:r>
      <w:r>
        <w:rPr>
          <w:rFonts w:ascii="微软雅黑" w:hAnsi="微软雅黑" w:eastAsia="微软雅黑"/>
        </w:rPr>
        <w:t xml:space="preserve"> 完整阶段表和错误映射见</w:t>
      </w:r>
      <w:r>
        <w:rPr>
          <w:rFonts w:ascii="微软雅黑" w:hAnsi="微软雅黑" w:eastAsia="微软雅黑"/>
          <w:color w:val="000000"/>
          <w:u w:val="single"/>
        </w:rPr>
        <w:t>接口目录</w:t>
      </w:r>
      <w:r>
        <w:rPr>
          <w:rFonts w:ascii="微软雅黑" w:hAnsi="微软雅黑" w:eastAsia="微软雅黑"/>
        </w:rPr>
        <w:t>第 4～5 节；排练实体见图 3、图 7；前端动作和资源清理见图 8。</w:t>
      </w:r>
    </w:p>
    <w:p w14:paraId="7A2675E7">
      <w:pPr>
        <w:pStyle w:val="3"/>
      </w:pPr>
      <w:r>
        <w:t>8. HTTP 接口设计</w:t>
      </w:r>
    </w:p>
    <w:p w14:paraId="7169982E">
      <w:pPr>
        <w:spacing w:after="100" w:line="300" w:lineRule="auto"/>
      </w:pPr>
      <w:r>
        <w:rPr>
          <w:rFonts w:ascii="微软雅黑" w:hAnsi="微软雅黑" w:eastAsia="微软雅黑"/>
        </w:rPr>
        <w:t xml:space="preserve">系统共有 32 个唯一 HTTP 方法/路径；日历查询是 </w:t>
      </w:r>
      <w:r>
        <w:rPr>
          <w:rFonts w:ascii="Consolas" w:hAnsi="Consolas" w:eastAsia="Consolas"/>
          <w:color w:val="505050"/>
          <w:sz w:val="19"/>
        </w:rPr>
        <w:t>GET /api/records</w:t>
      </w:r>
      <w:r>
        <w:rPr>
          <w:rFonts w:ascii="微软雅黑" w:hAnsi="微软雅黑" w:eastAsia="微软雅黑"/>
        </w:rPr>
        <w:t xml:space="preserve"> 的筛选形式，不重复计数。目录和跨专业约束见</w:t>
      </w:r>
      <w:r>
        <w:rPr>
          <w:rFonts w:ascii="微软雅黑" w:hAnsi="微软雅黑" w:eastAsia="微软雅黑"/>
          <w:color w:val="000000"/>
          <w:u w:val="single"/>
        </w:rPr>
        <w:t>接口目录</w:t>
      </w:r>
      <w:r>
        <w:rPr>
          <w:rFonts w:ascii="微软雅黑" w:hAnsi="微软雅黑" w:eastAsia="微软雅黑"/>
        </w:rPr>
        <w:t>，全套字段只引用</w:t>
      </w:r>
      <w:r>
        <w:rPr>
          <w:rFonts w:ascii="微软雅黑" w:hAnsi="微软雅黑" w:eastAsia="微软雅黑"/>
          <w:color w:val="000000"/>
          <w:u w:val="single"/>
        </w:rPr>
        <w:t>09号规范</w:t>
      </w:r>
      <w:r>
        <w:rPr>
          <w:rFonts w:ascii="微软雅黑" w:hAnsi="微软雅黑" w:eastAsia="微软雅黑"/>
        </w:rPr>
        <w:t>。本稿不另创平行路径或复制 DTO。</w:t>
      </w:r>
    </w:p>
    <w:p w14:paraId="778461DB">
      <w:pPr>
        <w:spacing w:after="100" w:line="300" w:lineRule="auto"/>
      </w:pPr>
      <w:r>
        <w:rPr>
          <w:rFonts w:ascii="微软雅黑" w:hAnsi="微软雅黑" w:eastAsia="微软雅黑"/>
        </w:rPr>
        <w:t xml:space="preserve">写请求使用 </w:t>
      </w:r>
      <w:r>
        <w:rPr>
          <w:rFonts w:ascii="Consolas" w:hAnsi="Consolas" w:eastAsia="Consolas"/>
          <w:color w:val="505050"/>
          <w:sz w:val="19"/>
        </w:rPr>
        <w:t>X-CSRF-Token</w:t>
      </w:r>
      <w:r>
        <w:rPr>
          <w:rFonts w:ascii="微软雅黑" w:hAnsi="微软雅黑" w:eastAsia="微软雅黑"/>
        </w:rPr>
        <w:t xml:space="preserve"> 并校验 Origin。错误映射限定为 400、401、403、404、409、413、429、503；原稿中的 422 已删除。任务超时和供应商失败使用任务 </w:t>
      </w:r>
      <w:r>
        <w:rPr>
          <w:rFonts w:ascii="Consolas" w:hAnsi="Consolas" w:eastAsia="Consolas"/>
          <w:color w:val="505050"/>
          <w:sz w:val="19"/>
        </w:rPr>
        <w:t>failureReason</w:t>
      </w:r>
      <w:r>
        <w:rPr>
          <w:rFonts w:ascii="微软雅黑" w:hAnsi="微软雅黑" w:eastAsia="微软雅黑"/>
        </w:rPr>
        <w:t>，不混入 HTTP 业务码。</w:t>
      </w:r>
    </w:p>
    <w:p w14:paraId="67D6627D">
      <w:pPr>
        <w:spacing w:after="100" w:line="300" w:lineRule="auto"/>
      </w:pPr>
      <w:r>
        <w:rPr>
          <w:rFonts w:ascii="微软雅黑" w:hAnsi="微软雅黑" w:eastAsia="微软雅黑"/>
          <w:b/>
        </w:rPr>
        <w:t>关联专业稿与图号：</w:t>
      </w:r>
      <w:r>
        <w:rPr>
          <w:rFonts w:ascii="微软雅黑" w:hAnsi="微软雅黑" w:eastAsia="微软雅黑"/>
        </w:rPr>
        <w:t xml:space="preserve"> 前端请求与页面动作见前端接口表；应用服务依赖见图 6；数据类型见图 7；字段权威源始终为 09 号。</w:t>
      </w:r>
    </w:p>
    <w:p w14:paraId="07657861">
      <w:pPr>
        <w:pStyle w:val="3"/>
      </w:pPr>
      <w:r>
        <w:t>9. 数据设计与持久幂等（R04）</w:t>
      </w:r>
    </w:p>
    <w:p w14:paraId="541216EA">
      <w:pPr>
        <w:spacing w:after="100" w:line="300" w:lineRule="auto"/>
      </w:pPr>
      <w:r>
        <w:rPr>
          <w:rFonts w:ascii="微软雅黑" w:hAnsi="微软雅黑" w:eastAsia="微软雅黑"/>
        </w:rPr>
        <w:t>PostgreSQL 承载账号、密码摘要、资料、偏好、登录会话、授权、保存记录及子类、房间、检索证据、幂等元数据和清除 outbox。所有持久业务查询绑定 owner 与 entry；更新和清除再绑定 version。图 9 为数据库 ER 图，源文件见</w:t>
      </w:r>
      <w:r>
        <w:rPr>
          <w:rFonts w:ascii="微软雅黑" w:hAnsi="微软雅黑" w:eastAsia="微软雅黑"/>
          <w:color w:val="000000"/>
          <w:u w:val="single"/>
        </w:rPr>
        <w:t>数据库 ER 图</w:t>
      </w:r>
      <w:r>
        <w:rPr>
          <w:rFonts w:ascii="微软雅黑" w:hAnsi="微软雅黑" w:eastAsia="微软雅黑"/>
        </w:rPr>
        <w:t>。</w:t>
      </w:r>
    </w:p>
    <w:p w14:paraId="3E0C580D">
      <w:pPr>
        <w:spacing w:after="100" w:line="300" w:lineRule="auto"/>
      </w:pPr>
      <w:r>
        <w:rPr>
          <w:rFonts w:ascii="微软雅黑" w:hAnsi="微软雅黑" w:eastAsia="微软雅黑"/>
        </w:rPr>
        <w:t xml:space="preserve">持久写以 </w:t>
      </w:r>
      <w:r>
        <w:rPr>
          <w:rFonts w:ascii="Consolas" w:hAnsi="Consolas" w:eastAsia="Consolas"/>
          <w:color w:val="505050"/>
          <w:sz w:val="19"/>
        </w:rPr>
        <w:t>(accountId, entryPointId, operation, requestId)</w:t>
      </w:r>
      <w:r>
        <w:rPr>
          <w:rFonts w:ascii="微软雅黑" w:hAnsi="微软雅黑" w:eastAsia="微软雅黑"/>
        </w:rPr>
        <w:t xml:space="preserve"> 唯一，对规范化载荷保存 </w:t>
      </w:r>
      <w:r>
        <w:rPr>
          <w:rFonts w:ascii="Consolas" w:hAnsi="Consolas" w:eastAsia="Consolas"/>
          <w:color w:val="505050"/>
          <w:sz w:val="19"/>
        </w:rPr>
        <w:t>payloadDigest</w:t>
      </w:r>
      <w:r>
        <w:rPr>
          <w:rFonts w:ascii="微软雅黑" w:hAnsi="微软雅黑" w:eastAsia="微软雅黑"/>
        </w:rPr>
        <w:t>。首次请求与业务写在同一事务登记结果；同 requestId 同摘要返回原结果，不同摘要返回 409。客户端超时后必须用原 requestId 和相同载荷重放核实，不得换新 ID。幂等记录只保存作用域、摘要、状态、结果 ID/版本、HTTP 状态和期限，不保存正文；保留 24 小时。</w:t>
      </w:r>
      <w:r>
        <w:rPr>
          <w:rFonts w:ascii="Consolas" w:hAnsi="Consolas" w:eastAsia="Consolas"/>
          <w:color w:val="505050"/>
          <w:sz w:val="19"/>
        </w:rPr>
        <w:t>saved_records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505050"/>
          <w:sz w:val="19"/>
        </w:rPr>
        <w:t>deletion_jobs</w:t>
      </w:r>
      <w:r>
        <w:rPr>
          <w:rFonts w:ascii="微软雅黑" w:hAnsi="微软雅黑" w:eastAsia="微软雅黑"/>
        </w:rPr>
        <w:t xml:space="preserve"> 的入口作用域唯一约束是业务表第二道保护。</w:t>
      </w:r>
    </w:p>
    <w:p w14:paraId="674A08AE">
      <w:pPr>
        <w:spacing w:after="100" w:line="300" w:lineRule="auto"/>
      </w:pPr>
      <w:r>
        <w:rPr>
          <w:rFonts w:ascii="微软雅黑" w:hAnsi="微软雅黑" w:eastAsia="微软雅黑"/>
        </w:rPr>
        <w:t xml:space="preserve">数据库专业稿当前已实现 </w:t>
      </w:r>
      <w:r>
        <w:rPr>
          <w:rFonts w:ascii="Consolas" w:hAnsi="Consolas" w:eastAsia="Consolas"/>
          <w:color w:val="505050"/>
          <w:sz w:val="19"/>
        </w:rPr>
        <w:t>saved_records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505050"/>
          <w:sz w:val="19"/>
        </w:rPr>
        <w:t>deletion_jobs</w:t>
      </w:r>
      <w:r>
        <w:rPr>
          <w:rFonts w:ascii="微软雅黑" w:hAnsi="微软雅黑" w:eastAsia="微软雅黑"/>
        </w:rPr>
        <w:t xml:space="preserve"> 的入口作用域 requestId 唯一约束；通用 </w:t>
      </w:r>
      <w:r>
        <w:rPr>
          <w:rFonts w:ascii="Consolas" w:hAnsi="Consolas" w:eastAsia="Consolas"/>
          <w:color w:val="505050"/>
          <w:sz w:val="19"/>
        </w:rPr>
        <w:t>idempotency_records</w:t>
      </w:r>
      <w:r>
        <w:rPr>
          <w:rFonts w:ascii="微软雅黑" w:hAnsi="微软雅黑" w:eastAsia="微软雅黑"/>
        </w:rPr>
        <w:t xml:space="preserve"> 及其 ER/DDL 同步列入变更表，完成同步和静态复核后才宣称 R04 跨稿关闭。AI/Search 任务幂等保留在内存，不承诺跨重启。</w:t>
      </w:r>
    </w:p>
    <w:p w14:paraId="44F70932">
      <w:pPr>
        <w:spacing w:after="100" w:line="300" w:lineRule="auto"/>
      </w:pPr>
      <w:r>
        <w:rPr>
          <w:rFonts w:ascii="微软雅黑" w:hAnsi="微软雅黑" w:eastAsia="微软雅黑"/>
        </w:rPr>
        <w:t>备份只覆盖持久化记录，加密保留 7 天；不含正文的删除日志至少保留 8 天。恢复须先重放删除日志、核对连续性并失效所有旧登录会话。</w:t>
      </w:r>
    </w:p>
    <w:p w14:paraId="69840E14">
      <w:pPr>
        <w:spacing w:after="100" w:line="300" w:lineRule="auto"/>
      </w:pPr>
      <w:r>
        <w:rPr>
          <w:rFonts w:ascii="微软雅黑" w:hAnsi="微软雅黑" w:eastAsia="微软雅黑"/>
          <w:b/>
        </w:rPr>
        <w:t>关联专业稿与图号：</w:t>
      </w:r>
      <w:r>
        <w:rPr>
          <w:rFonts w:ascii="微软雅黑" w:hAnsi="微软雅黑" w:eastAsia="微软雅黑"/>
        </w:rPr>
        <w:t xml:space="preserve"> 表、字段、索引和生命周期见数据库稿及 DDL；应用仓储关系见图 6；幂等调用流程见接口目录第 6 节。</w:t>
      </w:r>
    </w:p>
    <w:p w14:paraId="5CAC2D53">
      <w:pPr>
        <w:pStyle w:val="3"/>
      </w:pPr>
      <w:r>
        <w:t>10. 安全与隐私</w:t>
      </w:r>
    </w:p>
    <w:p w14:paraId="5BF4153A">
      <w:pPr>
        <w:spacing w:after="100" w:line="300" w:lineRule="auto"/>
      </w:pPr>
      <w:r>
        <w:rPr>
          <w:rFonts w:ascii="微软雅黑" w:hAnsi="微软雅黑" w:eastAsia="微软雅黑"/>
        </w:rPr>
        <w:t>安全控制落在具体边界：接入层校验 Cookie、CSRF、Origin、请求体和限流；应用层校验身份、入口、对象版本和用途；Repository 使用参数化 SQL 与作用域条件；模型/搜索适配器只接受许可后的最小载荷；日志仅记录请求 ID、非正文状态、耗时和错误码。</w:t>
      </w:r>
    </w:p>
    <w:p w14:paraId="2EC3107B">
      <w:pPr>
        <w:spacing w:after="100" w:line="300" w:lineRule="auto"/>
      </w:pPr>
      <w:r>
        <w:rPr>
          <w:rFonts w:ascii="微软雅黑" w:hAnsi="微软雅黑" w:eastAsia="微软雅黑"/>
        </w:rPr>
        <w:t>REQ14 使用独立组件和私有内存，不接通用会话 Context、Repository、AI、搜索、日志、分析 SDK 或崩溃正文附件。关闭、切换、销毁或跳过动画均清空 buffer。</w:t>
      </w:r>
    </w:p>
    <w:p w14:paraId="0AB9AFEE">
      <w:pPr>
        <w:spacing w:after="100" w:line="300" w:lineRule="auto"/>
      </w:pPr>
      <w:r>
        <w:rPr>
          <w:rFonts w:ascii="微软雅黑" w:hAnsi="微软雅黑" w:eastAsia="微软雅黑"/>
          <w:b/>
        </w:rPr>
        <w:t>关联专业稿与图号：</w:t>
      </w:r>
      <w:r>
        <w:rPr>
          <w:rFonts w:ascii="微软雅黑" w:hAnsi="微软雅黑" w:eastAsia="微软雅黑"/>
        </w:rPr>
        <w:t xml:space="preserve"> 安全组件见图 1、图 6；权限数据见图 4；数据库敏感等级和恢复规则见数据库稿；端侧隔离见前端稿 REQ14 专节。</w:t>
      </w:r>
    </w:p>
    <w:p w14:paraId="565FA533">
      <w:pPr>
        <w:pStyle w:val="3"/>
      </w:pPr>
      <w:r>
        <w:t>11. 错误、超时与可观测性</w:t>
      </w:r>
    </w:p>
    <w:p w14:paraId="204BA231">
      <w:pPr>
        <w:spacing w:after="100" w:line="300" w:lineRule="auto"/>
      </w:pPr>
      <w:r>
        <w:rPr>
          <w:rFonts w:ascii="微软雅黑" w:hAnsi="微软雅黑" w:eastAsia="微软雅黑"/>
        </w:rPr>
        <w:t xml:space="preserve">统一业务码为 </w:t>
      </w:r>
      <w:r>
        <w:rPr>
          <w:rFonts w:ascii="Consolas" w:hAnsi="Consolas" w:eastAsia="Consolas"/>
          <w:color w:val="505050"/>
          <w:sz w:val="19"/>
        </w:rPr>
        <w:t>AUTH_REQUIRED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505050"/>
          <w:sz w:val="19"/>
        </w:rPr>
        <w:t>ACCESS_DENIED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505050"/>
          <w:sz w:val="19"/>
        </w:rPr>
        <w:t>INVALID_INPUT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505050"/>
          <w:sz w:val="19"/>
        </w:rPr>
        <w:t>INVALID_STATE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505050"/>
          <w:sz w:val="19"/>
        </w:rPr>
        <w:t>SERVICE_UNAVAILABLE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505050"/>
          <w:sz w:val="19"/>
        </w:rPr>
        <w:t>CONFLICT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505050"/>
          <w:sz w:val="19"/>
        </w:rPr>
        <w:t>NOT_FOUND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505050"/>
          <w:sz w:val="19"/>
        </w:rPr>
        <w:t>RATE_LIMITED</w:t>
      </w:r>
      <w:r>
        <w:rPr>
          <w:rFonts w:ascii="微软雅黑" w:hAnsi="微软雅黑" w:eastAsia="微软雅黑"/>
        </w:rPr>
        <w:t>。持久写超时进入“待确认”，按原 requestId 核实；外部任务失败后只允许用户主动创建新任务，并重新校验许可和额度。数据库、模型或搜索失败不得伪装为空结果或成功。</w:t>
      </w:r>
    </w:p>
    <w:p w14:paraId="3E62F917">
      <w:pPr>
        <w:spacing w:after="100" w:line="300" w:lineRule="auto"/>
      </w:pPr>
      <w:r>
        <w:rPr>
          <w:rFonts w:ascii="微软雅黑" w:hAnsi="微软雅黑" w:eastAsia="微软雅黑"/>
          <w:b/>
        </w:rPr>
        <w:t>关联专业稿与图号：</w:t>
      </w:r>
      <w:r>
        <w:rPr>
          <w:rFonts w:ascii="微软雅黑" w:hAnsi="微软雅黑" w:eastAsia="微软雅黑"/>
        </w:rPr>
        <w:t xml:space="preserve"> HTTP 映射见接口目录第 2.1 节；前端恢复动作见前端接口表第 8 节；数据库失败与审计范围见数据库稿第 6、8 章。</w:t>
      </w:r>
    </w:p>
    <w:p w14:paraId="61CA89C7">
      <w:pPr>
        <w:pStyle w:val="3"/>
      </w:pPr>
      <w:r>
        <w:t>12. 部署与运行边界</w:t>
      </w:r>
    </w:p>
    <w:p w14:paraId="41DCD2CF">
      <w:pPr>
        <w:spacing w:after="100" w:line="300" w:lineRule="auto"/>
      </w:pPr>
      <w:r>
        <w:rPr>
          <w:rFonts w:ascii="微软雅黑" w:hAnsi="微软雅黑" w:eastAsia="微软雅黑"/>
        </w:rPr>
        <w:t>Web 为首发形态，同源托管静态资源与 API，PostgreSQL 位于私网。Electron 透明、置顶、拖动、穿透、多屏和退出能力必须实机验证后才标为 AVAILABLE；渲染层关闭 Node 集成，启用 contextIsolation 与 sandbox。微信首轮只做适配或模拟。密钥仅由服务端配置注入。</w:t>
      </w:r>
    </w:p>
    <w:p w14:paraId="4F042195">
      <w:pPr>
        <w:spacing w:after="100" w:line="300" w:lineRule="auto"/>
      </w:pPr>
      <w:r>
        <w:rPr>
          <w:rFonts w:ascii="微软雅黑" w:hAnsi="微软雅黑" w:eastAsia="微软雅黑"/>
          <w:b/>
        </w:rPr>
        <w:t>关联专业稿与图号：</w:t>
      </w:r>
      <w:r>
        <w:rPr>
          <w:rFonts w:ascii="微软雅黑" w:hAnsi="微软雅黑" w:eastAsia="微软雅黑"/>
        </w:rPr>
        <w:t xml:space="preserve"> 部署组件见图 1；Electron 白名单桥见图 5和前端入口能力矩阵；数据库恢复见数据库稿第 8 章。</w:t>
      </w:r>
    </w:p>
    <w:p w14:paraId="62386B8B">
      <w:pPr>
        <w:pStyle w:val="3"/>
      </w:pPr>
      <w:r>
        <w:t>13. 测试与验收</w:t>
      </w:r>
    </w:p>
    <w:p w14:paraId="18D5421A">
      <w:pPr>
        <w:spacing w:after="100" w:line="300" w:lineRule="auto"/>
      </w:pPr>
      <w:r>
        <w:rPr>
          <w:rFonts w:ascii="微软雅黑" w:hAnsi="微软雅黑" w:eastAsia="微软雅黑"/>
        </w:rPr>
        <w:t>按 AT-01～AT-17 验收。闭环重点包括：错误码与 422 清理、CSRF/Origin、409 权威状态读取、写超时结果核实、排练 reviewing/preview/saved 映射、数据库幂等事务、跨账号/入口越权、取消与迟到回复、寄存不自动展开、REQ14 合成标记零外泄和 Electron 实机能力。</w:t>
      </w:r>
    </w:p>
    <w:p w14:paraId="1E23E97C">
      <w:pPr>
        <w:spacing w:after="100" w:line="300" w:lineRule="auto"/>
      </w:pPr>
      <w:r>
        <w:rPr>
          <w:rFonts w:ascii="微软雅黑" w:hAnsi="微软雅黑" w:eastAsia="微软雅黑"/>
          <w:b/>
        </w:rPr>
        <w:t>关联专业稿与图号：</w:t>
      </w:r>
      <w:r>
        <w:rPr>
          <w:rFonts w:ascii="微软雅黑" w:hAnsi="微软雅黑" w:eastAsia="微软雅黑"/>
        </w:rPr>
        <w:t xml:space="preserve"> 数据库静态检查见数据库交叉评审记录；前端状态用例见前端关键状态图；接口验收依据见 09 号和接口目录变更表。</w:t>
      </w:r>
    </w:p>
    <w:p w14:paraId="371796F7">
      <w:pPr>
        <w:pStyle w:val="3"/>
      </w:pPr>
      <w:r>
        <w:t>14. 变更控制与同步责任</w:t>
      </w:r>
    </w:p>
    <w:p w14:paraId="64BB0CF2">
      <w:pPr>
        <w:spacing w:after="100" w:line="300" w:lineRule="auto"/>
      </w:pPr>
      <w:r>
        <w:rPr>
          <w:rFonts w:ascii="微软雅黑" w:hAnsi="微软雅黑" w:eastAsia="微软雅黑"/>
        </w:rPr>
        <w:t>新增或修订字段、路径、错误、状态、枚举、限额或幂等结构时，先登记</w:t>
      </w:r>
      <w:r>
        <w:rPr>
          <w:rFonts w:ascii="微软雅黑" w:hAnsi="微软雅黑" w:eastAsia="微软雅黑"/>
          <w:color w:val="000000"/>
          <w:u w:val="single"/>
        </w:rPr>
        <w:t>接口目录变更同步表</w:t>
      </w:r>
      <w:r>
        <w:rPr>
          <w:rFonts w:ascii="微软雅黑" w:hAnsi="微软雅黑" w:eastAsia="微软雅黑"/>
        </w:rPr>
        <w:t>，再同步 09 号、共享 Schema、v1.2 类图、前端接口表、数据库说明书/ER/DDL、需求追踪和 AT。未完成同步的条目不得作为已实现协议宣传。</w:t>
      </w:r>
    </w:p>
    <w:p w14:paraId="1ECA4B0D">
      <w:pPr>
        <w:spacing w:after="100" w:line="300" w:lineRule="auto"/>
      </w:pPr>
      <w:r>
        <w:rPr>
          <w:rFonts w:ascii="微软雅黑" w:hAnsi="微软雅黑" w:eastAsia="微软雅黑"/>
        </w:rPr>
        <w:t>本轮 CHG-API-01～03、CHG-UML-01、CHG-DB-01 分别关闭 R02/R03 的系统稿缺口，并为 R04 建立数据库同步入口。专业稿责任人完成落稿和复核后更新状态，不通过复制全套字段到本稿来“假闭环”。</w:t>
      </w:r>
    </w:p>
    <w:p w14:paraId="05FA57D4">
      <w:pPr>
        <w:pStyle w:val="3"/>
      </w:pPr>
      <w:r>
        <w:t>附录 A 图号与专业稿索引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7"/>
        <w:gridCol w:w="2653"/>
        <w:gridCol w:w="4476"/>
      </w:tblGrid>
      <w:tr w14:paraId="79E17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9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F5C7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图号</w:t>
            </w:r>
          </w:p>
        </w:tc>
        <w:tc>
          <w:tcPr>
            <w:tcW w:w="319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0A8F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w="319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99BE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源文件/专业稿</w:t>
            </w:r>
          </w:p>
        </w:tc>
      </w:tr>
      <w:tr w14:paraId="5D73F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222D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图 1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6FC8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总体系统架构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B4801"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8"/>
              </w:rPr>
              <w:t>01_系统架构图.mmd</w:t>
            </w:r>
          </w:p>
        </w:tc>
      </w:tr>
      <w:tr w14:paraId="077F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DF83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图 2～7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4821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完整设计类图六张分图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212C8"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8"/>
              </w:rPr>
              <w:t>02_完整设计类图_V1.2.md</w:t>
            </w:r>
          </w:p>
        </w:tc>
      </w:tr>
      <w:tr w14:paraId="3CCF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C6D0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图 8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51C7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排练与关键状态映射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263C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前端 </w:t>
            </w:r>
            <w:r>
              <w:rPr>
                <w:rFonts w:ascii="Consolas" w:hAnsi="Consolas" w:eastAsia="Consolas"/>
                <w:color w:val="505050"/>
                <w:sz w:val="18"/>
              </w:rPr>
              <w:t>03_关键状态与时序图.md</w:t>
            </w:r>
          </w:p>
        </w:tc>
      </w:tr>
      <w:tr w14:paraId="33FF9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9AE2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图 9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9889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数据库 ER 图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A21B1">
            <w:pPr>
              <w:spacing w:after="0" w:line="252" w:lineRule="auto"/>
            </w:pPr>
            <w:r>
              <w:rPr>
                <w:rFonts w:ascii="Consolas" w:hAnsi="Consolas" w:eastAsia="Consolas"/>
                <w:color w:val="505050"/>
                <w:sz w:val="18"/>
              </w:rPr>
              <w:t>database-design/diagrams/404NOTFOUND_database_er.mmd</w:t>
            </w:r>
          </w:p>
        </w:tc>
      </w:tr>
    </w:tbl>
    <w:p w14:paraId="2E0AA22F">
      <w:pPr>
        <w:spacing w:after="40"/>
      </w:pPr>
    </w:p>
    <w:p w14:paraId="3B7E6934">
      <w:pPr>
        <w:pStyle w:val="3"/>
      </w:pPr>
      <w:r>
        <w:t>附录 B 本轮闭环状态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5563"/>
        <w:gridCol w:w="2236"/>
      </w:tblGrid>
      <w:tr w14:paraId="25D3B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9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A5C9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w="319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0E9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本稿处理</w:t>
            </w:r>
          </w:p>
        </w:tc>
        <w:tc>
          <w:tcPr>
            <w:tcW w:w="319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1862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仍需外部同步</w:t>
            </w:r>
          </w:p>
        </w:tc>
      </w:tr>
      <w:tr w14:paraId="18730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C8F2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R02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52D6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错误映射、CSRF 头、409 状态读取和写结果核实已形成统一规则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1606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同步 09 号、共享 Schema、前端表并执行联调</w:t>
            </w:r>
          </w:p>
        </w:tc>
      </w:tr>
      <w:tr w14:paraId="5DECF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B7E8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R03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4DBA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排练 setup/ready/running/paused/reviewing/preview/saved/ended 已映射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1982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同步 v1.2 图二/图六及排练验收</w:t>
            </w:r>
          </w:p>
        </w:tc>
      </w:tr>
      <w:tr w14:paraId="2283E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AF9D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R04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414F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幂等作用域、摘要、事务、结果核实和保留期已定义</w:t>
            </w:r>
          </w:p>
        </w:tc>
        <w:tc>
          <w:tcPr>
            <w:tcW w:w="3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18C8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数据库稿、ER、DDL补通用幂等结构并复核</w:t>
            </w:r>
          </w:p>
        </w:tc>
      </w:tr>
      <w:tr w14:paraId="06B9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CFB4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R05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F784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两处文件名改为仓库实际名称；端点统计统一为 32；09 号改为真实相对链接</w:t>
            </w:r>
          </w:p>
        </w:tc>
        <w:tc>
          <w:tcPr>
            <w:tcW w:w="3192" w:type="dxa"/>
            <w:shd w:val="clear" w:color="auto" w:fill="F3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6F9A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18"/>
              </w:rPr>
              <w:t>提交时保持当前目录层级</w:t>
            </w:r>
          </w:p>
        </w:tc>
      </w:tr>
    </w:tbl>
    <w:p w14:paraId="6C465DFC">
      <w:pPr>
        <w:spacing w:after="40"/>
      </w:pPr>
    </w:p>
    <w:sectPr>
      <w:footerReference r:id="rId5" w:type="default"/>
      <w:pgSz w:w="12240" w:h="15840"/>
      <w:pgMar w:top="1247" w:right="124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C17C6">
    <w:pPr>
      <w:pStyle w:val="24"/>
      <w:jc w:val="center"/>
    </w:pPr>
    <w:r>
      <w:rPr>
        <w:rFonts w:ascii="微软雅黑" w:hAnsi="微软雅黑" w:eastAsia="微软雅黑"/>
        <w:color w:val="000000"/>
        <w:sz w:val="18"/>
      </w:rPr>
      <w:t>404NOTFOUND 系统设计说明书 V1.1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56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697</Words>
  <Characters>854</Characters>
  <Lines>0</Lines>
  <Paragraphs>0</Paragraphs>
  <TotalTime>0</TotalTime>
  <ScaleCrop>false</ScaleCrop>
  <LinksUpToDate>false</LinksUpToDate>
  <CharactersWithSpaces>892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基于 GitHub main 58f1228 修订</dc:description>
  <cp:lastModifiedBy>Men be</cp:lastModifiedBy>
  <dcterms:modified xsi:type="dcterms:W3CDTF">2026-10-21T14:13:18Z</dcterms:modified>
  <dc:subject>第三次团队作业闭环修订</dc:subject>
  <dc:title>404NOTFOUND 系统设计说明书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eyJoZGlkIjoiYjMwYjZhNWUwNDVjYWYxMDNhYjA5MDg5OGZkZWM3NDAiLCJ1c2VySWQiOiI2MDU5NjQ3MTAifQ==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39BF9000DB6E468784DEA1D363F670F0_12</vt:lpwstr>
  </property>
</Properties>
</file>