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21F5E" w:rsidRPr="0036306D" w:rsidRDefault="00F7605C" w:rsidP="00053855">
      <w:pPr>
        <w:ind w:left="1440"/>
        <w:jc w:val="center"/>
        <w:rPr>
          <w:rFonts w:ascii="Arial" w:hAnsi="Arial" w:cs="Arial"/>
          <w:sz w:val="22"/>
          <w:szCs w:val="22"/>
        </w:rPr>
      </w:pPr>
      <w:r w:rsidRPr="0036306D">
        <w:rPr>
          <w:rFonts w:ascii="Arial" w:hAnsi="Arial" w:cs="Arial"/>
          <w:sz w:val="22"/>
          <w:szCs w:val="22"/>
        </w:rPr>
        <w:t>Explainable</w:t>
      </w:r>
      <w:r w:rsidR="00247935" w:rsidRPr="0036306D">
        <w:rPr>
          <w:rFonts w:ascii="Arial" w:hAnsi="Arial" w:cs="Arial"/>
          <w:sz w:val="22"/>
          <w:szCs w:val="22"/>
        </w:rPr>
        <w:t>, motion</w:t>
      </w:r>
      <w:r w:rsidR="00053855" w:rsidRPr="0036306D">
        <w:rPr>
          <w:rFonts w:ascii="Arial" w:hAnsi="Arial" w:cs="Arial"/>
          <w:sz w:val="22"/>
          <w:szCs w:val="22"/>
        </w:rPr>
        <w:t>-</w:t>
      </w:r>
      <w:r w:rsidR="00247935" w:rsidRPr="0036306D">
        <w:rPr>
          <w:rFonts w:ascii="Arial" w:hAnsi="Arial" w:cs="Arial"/>
          <w:sz w:val="22"/>
          <w:szCs w:val="22"/>
        </w:rPr>
        <w:t>tolerant</w:t>
      </w:r>
      <w:r w:rsidRPr="0036306D">
        <w:rPr>
          <w:rFonts w:ascii="Arial" w:hAnsi="Arial" w:cs="Arial"/>
          <w:sz w:val="22"/>
          <w:szCs w:val="22"/>
        </w:rPr>
        <w:t xml:space="preserve"> super-resolution reconstruction </w:t>
      </w:r>
      <w:r w:rsidR="00053855" w:rsidRPr="0036306D">
        <w:rPr>
          <w:rFonts w:ascii="Arial" w:hAnsi="Arial" w:cs="Arial"/>
          <w:sz w:val="22"/>
          <w:szCs w:val="22"/>
        </w:rPr>
        <w:br/>
      </w:r>
      <w:r w:rsidRPr="0036306D">
        <w:rPr>
          <w:rFonts w:ascii="Arial" w:hAnsi="Arial" w:cs="Arial"/>
          <w:sz w:val="22"/>
          <w:szCs w:val="22"/>
        </w:rPr>
        <w:t>for very low-field MRI</w:t>
      </w:r>
    </w:p>
    <w:p w:rsidR="00F7605C" w:rsidRPr="0036306D" w:rsidRDefault="00F7605C" w:rsidP="00F7605C">
      <w:pPr>
        <w:ind w:left="1440"/>
        <w:rPr>
          <w:rFonts w:ascii="Arial" w:hAnsi="Arial" w:cs="Arial"/>
          <w:sz w:val="22"/>
          <w:szCs w:val="22"/>
        </w:rPr>
      </w:pPr>
    </w:p>
    <w:p w:rsidR="00F7605C" w:rsidRPr="0036306D" w:rsidRDefault="00F7605C" w:rsidP="00F7605C">
      <w:pPr>
        <w:ind w:left="1440"/>
        <w:rPr>
          <w:rFonts w:ascii="Arial" w:hAnsi="Arial" w:cs="Arial"/>
          <w:sz w:val="22"/>
          <w:szCs w:val="22"/>
        </w:rPr>
      </w:pPr>
    </w:p>
    <w:p w:rsidR="00F7605C" w:rsidRPr="0036306D" w:rsidRDefault="00F7605C" w:rsidP="006853B9">
      <w:pPr>
        <w:pStyle w:val="ListParagraph"/>
        <w:numPr>
          <w:ilvl w:val="0"/>
          <w:numId w:val="1"/>
        </w:numPr>
        <w:jc w:val="both"/>
        <w:rPr>
          <w:rFonts w:ascii="Arial" w:hAnsi="Arial" w:cs="Arial"/>
          <w:sz w:val="22"/>
          <w:szCs w:val="22"/>
        </w:rPr>
      </w:pPr>
      <w:r w:rsidRPr="0036306D">
        <w:rPr>
          <w:rFonts w:ascii="Arial" w:hAnsi="Arial" w:cs="Arial"/>
          <w:b/>
          <w:bCs/>
          <w:sz w:val="22"/>
          <w:szCs w:val="22"/>
        </w:rPr>
        <w:t>Approach:</w:t>
      </w:r>
      <w:r w:rsidR="00F4702E" w:rsidRPr="0036306D">
        <w:rPr>
          <w:rFonts w:ascii="Arial" w:hAnsi="Arial" w:cs="Arial"/>
          <w:sz w:val="22"/>
          <w:szCs w:val="22"/>
        </w:rPr>
        <w:t xml:space="preserve"> This work </w:t>
      </w:r>
      <w:r w:rsidR="006853B9" w:rsidRPr="0036306D">
        <w:rPr>
          <w:rFonts w:ascii="Arial" w:hAnsi="Arial" w:cs="Arial"/>
          <w:sz w:val="22"/>
          <w:szCs w:val="22"/>
        </w:rPr>
        <w:t>will focus on mitigating the challenge of low spatial resolution at very low field MRI by combining up to three orthogonal views in a manner that generalizes across contrasts and is explainable by visualizing interpolations. This will be accomplished by a deep-learning network that will perform three tasks: (</w:t>
      </w:r>
      <w:proofErr w:type="spellStart"/>
      <w:r w:rsidR="006853B9" w:rsidRPr="0036306D">
        <w:rPr>
          <w:rFonts w:ascii="Arial" w:hAnsi="Arial" w:cs="Arial"/>
          <w:sz w:val="22"/>
          <w:szCs w:val="22"/>
        </w:rPr>
        <w:t>i</w:t>
      </w:r>
      <w:proofErr w:type="spellEnd"/>
      <w:r w:rsidR="006853B9" w:rsidRPr="0036306D">
        <w:rPr>
          <w:rFonts w:ascii="Arial" w:hAnsi="Arial" w:cs="Arial"/>
          <w:sz w:val="22"/>
          <w:szCs w:val="22"/>
        </w:rPr>
        <w:t>) denoising using sparse transforms, ii) estimating motion field maps and mitigating for rotation and translation effects between the views, iii) combining the views at multiple scales to provide a super-resolved reconstruction</w:t>
      </w:r>
      <w:r w:rsidR="00353AA3" w:rsidRPr="0036306D">
        <w:rPr>
          <w:rFonts w:ascii="Arial" w:hAnsi="Arial" w:cs="Arial"/>
          <w:sz w:val="22"/>
          <w:szCs w:val="22"/>
        </w:rPr>
        <w:t xml:space="preserve"> (SRR)</w:t>
      </w:r>
      <w:r w:rsidR="006853B9" w:rsidRPr="0036306D">
        <w:rPr>
          <w:rFonts w:ascii="Arial" w:hAnsi="Arial" w:cs="Arial"/>
          <w:sz w:val="22"/>
          <w:szCs w:val="22"/>
        </w:rPr>
        <w:t xml:space="preserve"> that does not suffer from blurring or hallucinations.</w:t>
      </w:r>
    </w:p>
    <w:p w:rsidR="00F7605C" w:rsidRPr="0036306D" w:rsidRDefault="00F7605C" w:rsidP="0036306D">
      <w:pPr>
        <w:rPr>
          <w:rFonts w:ascii="Arial" w:hAnsi="Arial" w:cs="Arial"/>
          <w:sz w:val="22"/>
          <w:szCs w:val="22"/>
        </w:rPr>
      </w:pPr>
    </w:p>
    <w:p w:rsidR="00F7605C" w:rsidRPr="0036306D" w:rsidRDefault="00F7605C" w:rsidP="0036306D">
      <w:pPr>
        <w:rPr>
          <w:rFonts w:ascii="Arial" w:hAnsi="Arial" w:cs="Arial"/>
          <w:sz w:val="22"/>
          <w:szCs w:val="22"/>
        </w:rPr>
      </w:pPr>
      <w:r w:rsidRPr="0036306D">
        <w:rPr>
          <w:rFonts w:ascii="Arial" w:hAnsi="Arial" w:cs="Arial"/>
          <w:b/>
          <w:bCs/>
          <w:sz w:val="22"/>
          <w:szCs w:val="22"/>
        </w:rPr>
        <w:t>Novelty:</w:t>
      </w:r>
      <w:r w:rsidR="006853B9" w:rsidRPr="0036306D">
        <w:rPr>
          <w:rFonts w:ascii="Arial" w:hAnsi="Arial" w:cs="Arial"/>
          <w:b/>
          <w:bCs/>
          <w:sz w:val="22"/>
          <w:szCs w:val="22"/>
        </w:rPr>
        <w:t xml:space="preserve">  </w:t>
      </w:r>
      <w:r w:rsidR="006853B9" w:rsidRPr="0036306D">
        <w:rPr>
          <w:rFonts w:ascii="Arial" w:hAnsi="Arial" w:cs="Arial"/>
          <w:sz w:val="22"/>
          <w:szCs w:val="22"/>
        </w:rPr>
        <w:t>To the best of our knowledge, based on published literature, the state-of-the-art low-field SRR works</w:t>
      </w:r>
      <w:r w:rsidR="0036306D">
        <w:rPr>
          <w:rFonts w:ascii="Arial" w:hAnsi="Arial" w:cs="Arial"/>
          <w:sz w:val="22"/>
          <w:szCs w:val="22"/>
        </w:rPr>
        <w:fldChar w:fldCharType="begin" w:fldLock="1"/>
      </w:r>
      <w:r w:rsidR="0036306D">
        <w:rPr>
          <w:rFonts w:ascii="Arial" w:hAnsi="Arial" w:cs="Arial"/>
          <w:sz w:val="22"/>
          <w:szCs w:val="22"/>
        </w:rPr>
        <w:instrText>ADDIN CSL_CITATION {"citationItems":[{"id":"ITEM-1","itemData":{"DOI":"10.1007/978-3-030-33843-5_6","ISBN":"9783030338428","ISSN":"16113349","abstract":"MR images scanned at low magnetic field (&lt; 1 T) have lower resolution in the slice direction and lower contrast, due to a relatively small signal-to-noise ratio (SNR) than those from high field (typically 1.5T and 3T). We adapt the recent idea of Image Quality Transfer (IQT) to enhance very low-field structural images aiming to estimate the resolution, spatial coverage, and contrast of high-field images. Analogous to many learning-based image enhancement techniques, IQT generates training data from high-field scans alone by simulating low-field images through a pre-defined decimation model. However, the ground truth decimation model is not well-known in practice, and lack of its specification can bias the trained model, aggravating performance on the real low-field scans. In this paper we propose a probabilistic decimation simulator to improve robustness of model training. It is used to generate and augment various low-field images whose parameters are random variables and sampled from an empirical distribution related to tissue-specific SNR on a 0.36T scanner. The probabilistic decimation simulator is model-agnostic, that is, it can be used with any super-resolution networks. Furthermore we propose a variant of U-Net architecture to improve its learning performance. We show promising qualitative results from clinical low-field images confirming the strong efficacy of IQT in an important new application area: epilepsy diagnosis in sub-Saharan Africa where only low-field scanners are normally available.","author":[{"dropping-particle":"","family":"Lin","given":"Hongxiang","non-dropping-particle":"","parse-names":false,"suffix":""},{"dropping-particle":"","family":"Figini","given":"Matteo","non-dropping-particle":"","parse-names":false,"suffix":""},{"dropping-particle":"","family":"Tanno","given":"Ryutaro","non-dropping-particle":"","parse-names":false,"suffix":""},{"dropping-particle":"","family":"Blumberg","given":"Stefano B.","non-dropping-particle":"","parse-names":false,"suffix":""},{"dropping-particle":"","family":"Kaden","given":"Enrico","non-dropping-particle":"","parse-names":false,"suffix":""},{"dropping-particle":"","family":"Ogbole","given":"Godwin","non-dropping-particle":"","parse-names":false,"suffix":""},{"dropping-particle":"","family":"Brown","given":"Biobele J.","non-dropping-particle":"","parse-names":false,"suffix":""},{"dropping-particle":"","family":"D’Arco","given":"Felice","non-dropping-particle":"","parse-names":false,"suffix":""},{"dropping-particle":"","family":"Carmichael","given":"David W.","non-dropping-particle":"","parse-names":false,"suffix":""},{"dropping-particle":"","family":"Lagunju","given":"Ikeoluwa","non-dropping-particle":"","parse-names":false,"suffix":""},{"dropping-particle":"","family":"Cross","given":"Helen J.","non-dropping-particle":"","parse-names":false,"suffix":""},{"dropping-particle":"","family":"Fernandez-Reyes","given":"Delmiro","non-dropping-particle":"","parse-names":false,"suffix":""},{"dropping-particle":"","family":"Alexander","given":"Daniel C.","non-dropping-particle":"","parse-names":false,"suffix":""}],"container-title":"Lecture Notes in Computer Science (including subseries Lecture Notes in Artificial Intelligence and Lecture Notes in Bioinformatics)","id":"ITEM-1","issued":{"date-parts":[["2019"]]},"title":"Deep Learning for Low-Field to High-Field MR: Image Quality Transfer with Probabilistic Decimation Simulator","type":"paper-conference"},"uris":["http://www.mendeley.com/documents/?uuid=4342e492-3675-4662-9532-9a83c2ffa101"]},{"id":"ITEM-2","itemData":{"DOI":"10.1038/s41598-022-10298-6","ISSN":"20452322","abstract":"Low-field MRI scanners are significantly less expensive than their high-field counterparts, which gives them the potential to make MRI technology more accessible all around the world. In general, images acquired using low-field MRI scanners tend to be of a relatively low resolution, as signal-to-noise ratios are lower. The aim of this work is to improve the resolution of these images. To this end, we present a deep learning-based approach to transform low-resolution low-field MR images into high-resolution ones. A convolutional neural network was trained to carry out single image super-resolution reconstruction using pairs of noisy low-resolution images and their noise-free high-resolution counterparts, which were obtained from the publicly available NYU fastMRI database. This network was subsequently applied to noisy images acquired using a low-field MRI scanner. The trained convolutional network yielded sharp super-resolution images in which most of the high-frequency components were recovered. In conclusion, we showed that a deep learning-based approach has great potential when it comes to increasing the resolution of low-field MR images.","author":[{"dropping-particle":"","family":"Leeuw den Bouter","given":"M. L.","non-dropping-particle":"de","parse-names":false,"suffix":""},{"dropping-particle":"","family":"Ippolito","given":"G.","non-dropping-particle":"","parse-names":false,"suffix":""},{"dropping-particle":"","family":"O’Reilly","given":"T. P.A.","non-dropping-particle":"","parse-names":false,"suffix":""},{"dropping-particle":"","family":"Remis","given":"R. F.","non-dropping-particle":"","parse-names":false,"suffix":""},{"dropping-particle":"","family":"Gijzen","given":"M. B.","non-dropping-particle":"van","parse-names":false,"suffix":""},{"dropping-particle":"","family":"Webb","given":"A. G.","non-dropping-particle":"","parse-names":false,"suffix":""}],"container-title":"Scientific Reports","id":"ITEM-2","issue":"1","issued":{"date-parts":[["2022"]]},"title":"Deep learning-based single image super-resolution for low-field MR brain images","type":"article-journal","volume":"12"},"uris":["http://www.mendeley.com/documents/?uuid=c8280643-0507-3b51-88de-d7f6d2e01c83"]},{"id":"ITEM-3","itemData":{"DOI":"10.1002/mrm.29642","ISSN":"15222594","abstract":"Purpose: Recent development of ultra-low-field (ULF) MRI presents opportunities for low-power, shielding-free, and portable clinical applications at a fraction of the cost. However, its performance remains limited by poor image quality. Here, a computational approach is formulated to advance ULF MR brain imaging through deep learning of large-scale publicly available 3T brain data. Methods: A dual-acquisition 3D superresolution model is developed for ULF brain MRI at 0.055 T. It consists of deep cross-scale feature extraction, attentional fusion of two acquisitions, and reconstruction. Models for T1-weighted and T2-weighted imaging were trained with 3D ULF image data sets synthesized from the high-resolution 3T brain data from the Human Connectome Project. They were applied to 0.055T brain MRI with two repetitions and isotropic 3-mm acquisition resolution in healthy volunteers, young and old, as well as patients. Results: The proposed approach significantly enhanced image spatial resolution and suppressed noise/artifacts. It yielded high 3D image quality at 0.055 T for the two most common neuroimaging protocols with isotropic 1.5-mm synthetic resolution and total scan time under 20 min. Fine anatomical details were restored with intrasubject reproducibility, intercontrast consistency, and confirmed by 3T MRI. Conclusion: The proposed dual-acquisition 3D superresolution approach advances ULF MRI for quality brain imaging through deep learning of high-field brain data. Such strategy can empower ULF MRI for low-cost brain imaging, especially in point-of-care scenarios or/and in low-income and mid-income countries.","author":[{"dropping-particle":"","family":"Lau","given":"Vick","non-dropping-particle":"","parse-names":false,"suffix":""},{"dropping-particle":"","family":"Xiao","given":"Linfang","non-dropping-particle":"","parse-names":false,"suffix":""},{"dropping-particle":"","family":"Zhao","given":"Yujiao","non-dropping-particle":"","parse-names":false,"suffix":""},{"dropping-particle":"","family":"Su","given":"Shi","non-dropping-particle":"","parse-names":false,"suffix":""},{"dropping-particle":"","family":"Ding","given":"Ye","non-dropping-particle":"","parse-names":false,"suffix":""},{"dropping-particle":"","family":"Man","given":"Christopher","non-dropping-particle":"","parse-names":false,"suffix":""},{"dropping-particle":"","family":"Wang","given":"Xunda","non-dropping-particle":"","parse-names":false,"suffix":""},{"dropping-particle":"","family":"Tsang","given":"Anderson","non-dropping-particle":"","parse-names":false,"suffix":""},{"dropping-particle":"","family":"Cao","given":"Peng","non-dropping-particle":"","parse-names":false,"suffix":""},{"dropping-particle":"","family":"Lau","given":"Gary K.K.","non-dropping-particle":"","parse-names":false,"suffix":""},{"dropping-particle":"","family":"Leung","given":"Gilberto K.K.","non-dropping-particle":"","parse-names":false,"suffix":""},{"dropping-particle":"","family":"Leong","given":"Alex T.L.","non-dropping-particle":"","parse-names":false,"suffix":""},{"dropping-particle":"","family":"Wu","given":"Ed X.","non-dropping-particle":"","parse-names":false,"suffix":""}],"container-title":"Magnetic Resonance in Medicine","id":"ITEM-3","issue":"2","issued":{"date-parts":[["2023"]]},"title":"Pushing the limits of low-cost ultra-low-field MRI by dual-acquisition deep learning 3D superresolution","type":"article-journal","volume":"90"},"uris":["http://www.mendeley.com/documents/?uuid=b5b37966-3e7e-379e-84c2-269a37a569ae"]}],"mendeley":{"formattedCitation":"&lt;sup&gt;1–3&lt;/sup&gt;","plainTextFormattedCitation":"1–3","previouslyFormattedCitation":"&lt;sup&gt;1–3&lt;/sup&gt;"},"properties":{"noteIndex":0},"schema":"https://github.com/citation-style-language/schema/raw/master/csl-citation.json"}</w:instrText>
      </w:r>
      <w:r w:rsidR="0036306D">
        <w:rPr>
          <w:rFonts w:ascii="Arial" w:hAnsi="Arial" w:cs="Arial"/>
          <w:sz w:val="22"/>
          <w:szCs w:val="22"/>
        </w:rPr>
        <w:fldChar w:fldCharType="separate"/>
      </w:r>
      <w:r w:rsidR="0036306D" w:rsidRPr="0036306D">
        <w:rPr>
          <w:rFonts w:ascii="Arial" w:hAnsi="Arial" w:cs="Arial"/>
          <w:noProof/>
          <w:sz w:val="22"/>
          <w:szCs w:val="22"/>
          <w:vertAlign w:val="superscript"/>
        </w:rPr>
        <w:t>1–3</w:t>
      </w:r>
      <w:r w:rsidR="0036306D">
        <w:rPr>
          <w:rFonts w:ascii="Arial" w:hAnsi="Arial" w:cs="Arial"/>
          <w:sz w:val="22"/>
          <w:szCs w:val="22"/>
        </w:rPr>
        <w:fldChar w:fldCharType="end"/>
      </w:r>
      <w:r w:rsidR="0020267F" w:rsidRPr="0036306D">
        <w:rPr>
          <w:rFonts w:ascii="Arial" w:hAnsi="Arial" w:cs="Arial"/>
          <w:sz w:val="22"/>
          <w:szCs w:val="22"/>
        </w:rPr>
        <w:t xml:space="preserve"> (including the manuscript</w:t>
      </w:r>
      <w:r w:rsidR="0036306D">
        <w:rPr>
          <w:rFonts w:ascii="Arial" w:hAnsi="Arial" w:cs="Arial"/>
          <w:sz w:val="22"/>
          <w:szCs w:val="22"/>
        </w:rPr>
        <w:t>s</w:t>
      </w:r>
      <w:r w:rsidR="0020267F" w:rsidRPr="0036306D">
        <w:rPr>
          <w:rFonts w:ascii="Arial" w:hAnsi="Arial" w:cs="Arial"/>
          <w:sz w:val="22"/>
          <w:szCs w:val="22"/>
        </w:rPr>
        <w:t xml:space="preserve"> at </w:t>
      </w:r>
      <w:hyperlink r:id="rId6" w:history="1">
        <w:r w:rsidR="0020267F" w:rsidRPr="0036306D">
          <w:rPr>
            <w:rStyle w:val="Hyperlink"/>
            <w:rFonts w:ascii="Arial" w:hAnsi="Arial" w:cs="Arial"/>
            <w:sz w:val="22"/>
            <w:szCs w:val="22"/>
          </w:rPr>
          <w:t>https://doi.org/10.1101/2024.02.16.580639</w:t>
        </w:r>
      </w:hyperlink>
      <w:r w:rsidR="0036306D">
        <w:rPr>
          <w:rFonts w:ascii="Arial" w:hAnsi="Arial" w:cs="Arial"/>
          <w:sz w:val="22"/>
          <w:szCs w:val="22"/>
        </w:rPr>
        <w:t xml:space="preserve">, </w:t>
      </w:r>
      <w:r w:rsidR="0020267F" w:rsidRPr="0036306D">
        <w:rPr>
          <w:rFonts w:ascii="Arial" w:hAnsi="Arial" w:cs="Arial"/>
          <w:sz w:val="22"/>
          <w:szCs w:val="22"/>
        </w:rPr>
        <w:t xml:space="preserve">  </w:t>
      </w:r>
      <w:r w:rsidR="0036306D">
        <w:rPr>
          <w:rFonts w:ascii="Arial" w:hAnsi="Arial" w:cs="Arial"/>
          <w:color w:val="000000"/>
          <w:sz w:val="22"/>
          <w:szCs w:val="22"/>
        </w:rPr>
        <w:fldChar w:fldCharType="begin"/>
      </w:r>
      <w:r w:rsidR="0036306D">
        <w:rPr>
          <w:rFonts w:ascii="Arial" w:hAnsi="Arial" w:cs="Arial"/>
          <w:color w:val="000000"/>
          <w:sz w:val="22"/>
          <w:szCs w:val="22"/>
        </w:rPr>
        <w:instrText xml:space="preserve"> HYPERLINK "</w:instrText>
      </w:r>
      <w:r w:rsidR="0036306D" w:rsidRPr="0036306D">
        <w:rPr>
          <w:rFonts w:ascii="Arial" w:hAnsi="Arial" w:cs="Arial"/>
          <w:color w:val="000000"/>
          <w:sz w:val="22"/>
          <w:szCs w:val="22"/>
        </w:rPr>
        <w:instrText>https://doi.org/10.48550/arXiv.2202.03564</w:instrText>
      </w:r>
      <w:r w:rsidR="0036306D">
        <w:rPr>
          <w:rFonts w:ascii="Arial" w:hAnsi="Arial" w:cs="Arial"/>
          <w:color w:val="000000"/>
          <w:sz w:val="22"/>
          <w:szCs w:val="22"/>
        </w:rPr>
        <w:instrText xml:space="preserve">" </w:instrText>
      </w:r>
      <w:r w:rsidR="0036306D">
        <w:rPr>
          <w:rFonts w:ascii="Arial" w:hAnsi="Arial" w:cs="Arial"/>
          <w:color w:val="000000"/>
          <w:sz w:val="22"/>
          <w:szCs w:val="22"/>
        </w:rPr>
        <w:fldChar w:fldCharType="separate"/>
      </w:r>
      <w:r w:rsidR="0036306D" w:rsidRPr="00357AED">
        <w:rPr>
          <w:rStyle w:val="Hyperlink"/>
          <w:rFonts w:ascii="Arial" w:hAnsi="Arial" w:cs="Arial"/>
          <w:sz w:val="22"/>
          <w:szCs w:val="22"/>
        </w:rPr>
        <w:t>h</w:t>
      </w:r>
      <w:r w:rsidR="0036306D" w:rsidRPr="00357AED">
        <w:rPr>
          <w:rStyle w:val="Hyperlink"/>
          <w:rFonts w:ascii="Arial" w:hAnsi="Arial" w:cs="Arial"/>
          <w:sz w:val="22"/>
          <w:szCs w:val="22"/>
        </w:rPr>
        <w:t>ttps://doi.org/10.48550/arXiv.2202.03564</w:t>
      </w:r>
      <w:r w:rsidR="0036306D">
        <w:rPr>
          <w:rFonts w:ascii="Arial" w:hAnsi="Arial" w:cs="Arial"/>
          <w:color w:val="000000"/>
          <w:sz w:val="22"/>
          <w:szCs w:val="22"/>
        </w:rPr>
        <w:fldChar w:fldCharType="end"/>
      </w:r>
      <w:r w:rsidR="0020267F" w:rsidRPr="0036306D">
        <w:rPr>
          <w:rFonts w:ascii="Arial" w:hAnsi="Arial" w:cs="Arial"/>
          <w:sz w:val="22"/>
          <w:szCs w:val="22"/>
        </w:rPr>
        <w:t>)</w:t>
      </w:r>
      <w:r w:rsidR="006853B9" w:rsidRPr="0036306D">
        <w:rPr>
          <w:rFonts w:ascii="Arial" w:hAnsi="Arial" w:cs="Arial"/>
          <w:sz w:val="22"/>
          <w:szCs w:val="22"/>
        </w:rPr>
        <w:t xml:space="preserve">  have yet to focus on explainability or encapsulating the pipeline challenges of very low-field MRI, especially motion between the three views. The following is a list of novel features of our prospective implementation.</w:t>
      </w:r>
    </w:p>
    <w:p w:rsidR="00C545FB" w:rsidRPr="0036306D" w:rsidRDefault="00C545FB" w:rsidP="00C545FB">
      <w:pPr>
        <w:pStyle w:val="ListParagraph"/>
        <w:numPr>
          <w:ilvl w:val="1"/>
          <w:numId w:val="1"/>
        </w:numPr>
        <w:rPr>
          <w:rFonts w:ascii="Arial" w:hAnsi="Arial" w:cs="Arial"/>
          <w:sz w:val="22"/>
          <w:szCs w:val="22"/>
        </w:rPr>
      </w:pPr>
      <w:r w:rsidRPr="0036306D">
        <w:rPr>
          <w:rFonts w:ascii="Arial" w:hAnsi="Arial" w:cs="Arial"/>
          <w:sz w:val="22"/>
          <w:szCs w:val="22"/>
        </w:rPr>
        <w:t>Explainability</w:t>
      </w:r>
    </w:p>
    <w:p w:rsidR="006C5CAE" w:rsidRPr="0036306D" w:rsidRDefault="006C5CAE" w:rsidP="006C5CAE">
      <w:pPr>
        <w:pStyle w:val="ListParagraph"/>
        <w:numPr>
          <w:ilvl w:val="1"/>
          <w:numId w:val="1"/>
        </w:numPr>
        <w:rPr>
          <w:rFonts w:ascii="Arial" w:hAnsi="Arial" w:cs="Arial"/>
          <w:sz w:val="22"/>
          <w:szCs w:val="22"/>
        </w:rPr>
      </w:pPr>
      <w:r w:rsidRPr="0036306D">
        <w:rPr>
          <w:rFonts w:ascii="Arial" w:hAnsi="Arial" w:cs="Arial"/>
          <w:sz w:val="22"/>
          <w:szCs w:val="22"/>
        </w:rPr>
        <w:t xml:space="preserve">Multi-scale SRR </w:t>
      </w:r>
    </w:p>
    <w:p w:rsidR="00C545FB" w:rsidRPr="0036306D" w:rsidRDefault="006C5CAE" w:rsidP="00C545FB">
      <w:pPr>
        <w:pStyle w:val="ListParagraph"/>
        <w:numPr>
          <w:ilvl w:val="1"/>
          <w:numId w:val="1"/>
        </w:numPr>
        <w:rPr>
          <w:rFonts w:ascii="Arial" w:hAnsi="Arial" w:cs="Arial"/>
          <w:sz w:val="22"/>
          <w:szCs w:val="22"/>
        </w:rPr>
      </w:pPr>
      <w:r w:rsidRPr="0036306D">
        <w:rPr>
          <w:rFonts w:ascii="Arial" w:hAnsi="Arial" w:cs="Arial"/>
          <w:sz w:val="22"/>
          <w:szCs w:val="22"/>
        </w:rPr>
        <w:t xml:space="preserve">Transform </w:t>
      </w:r>
      <w:r w:rsidR="009A5000" w:rsidRPr="0036306D">
        <w:rPr>
          <w:rFonts w:ascii="Arial" w:hAnsi="Arial" w:cs="Arial"/>
          <w:sz w:val="22"/>
          <w:szCs w:val="22"/>
        </w:rPr>
        <w:t>d</w:t>
      </w:r>
      <w:r w:rsidR="00C545FB" w:rsidRPr="0036306D">
        <w:rPr>
          <w:rFonts w:ascii="Arial" w:hAnsi="Arial" w:cs="Arial"/>
          <w:sz w:val="22"/>
          <w:szCs w:val="22"/>
        </w:rPr>
        <w:t>enoising</w:t>
      </w:r>
      <w:r w:rsidR="00C14191" w:rsidRPr="0036306D">
        <w:rPr>
          <w:rFonts w:ascii="Arial" w:hAnsi="Arial" w:cs="Arial"/>
          <w:sz w:val="22"/>
          <w:szCs w:val="22"/>
        </w:rPr>
        <w:t xml:space="preserve"> and reconstruction</w:t>
      </w:r>
    </w:p>
    <w:p w:rsidR="00923861" w:rsidRPr="0036306D" w:rsidRDefault="00923861" w:rsidP="00C545FB">
      <w:pPr>
        <w:pStyle w:val="ListParagraph"/>
        <w:numPr>
          <w:ilvl w:val="1"/>
          <w:numId w:val="1"/>
        </w:numPr>
        <w:rPr>
          <w:rFonts w:ascii="Arial" w:hAnsi="Arial" w:cs="Arial"/>
          <w:sz w:val="22"/>
          <w:szCs w:val="22"/>
        </w:rPr>
      </w:pPr>
      <w:r w:rsidRPr="0036306D">
        <w:rPr>
          <w:rFonts w:ascii="Arial" w:hAnsi="Arial" w:cs="Arial"/>
          <w:sz w:val="22"/>
          <w:szCs w:val="22"/>
        </w:rPr>
        <w:t>Motion</w:t>
      </w:r>
      <w:r w:rsidR="004C3058" w:rsidRPr="0036306D">
        <w:rPr>
          <w:rFonts w:ascii="Arial" w:hAnsi="Arial" w:cs="Arial"/>
          <w:sz w:val="22"/>
          <w:szCs w:val="22"/>
        </w:rPr>
        <w:t xml:space="preserve"> </w:t>
      </w:r>
      <w:r w:rsidR="0078008D" w:rsidRPr="0036306D">
        <w:rPr>
          <w:rFonts w:ascii="Arial" w:hAnsi="Arial" w:cs="Arial"/>
          <w:sz w:val="22"/>
          <w:szCs w:val="22"/>
        </w:rPr>
        <w:t>tolerant to translation and rotation</w:t>
      </w:r>
    </w:p>
    <w:p w:rsidR="00F7605C" w:rsidRPr="0036306D" w:rsidRDefault="0078008D" w:rsidP="00F7605C">
      <w:pPr>
        <w:pStyle w:val="ListParagraph"/>
        <w:numPr>
          <w:ilvl w:val="1"/>
          <w:numId w:val="1"/>
        </w:numPr>
        <w:rPr>
          <w:rFonts w:ascii="Arial" w:hAnsi="Arial" w:cs="Arial"/>
          <w:sz w:val="22"/>
          <w:szCs w:val="22"/>
        </w:rPr>
      </w:pPr>
      <w:r w:rsidRPr="0036306D">
        <w:rPr>
          <w:rFonts w:ascii="Arial" w:hAnsi="Arial" w:cs="Arial"/>
          <w:sz w:val="22"/>
          <w:szCs w:val="22"/>
        </w:rPr>
        <w:t xml:space="preserve">Faster than </w:t>
      </w:r>
      <w:r w:rsidR="00247935" w:rsidRPr="0036306D">
        <w:rPr>
          <w:rFonts w:ascii="Arial" w:hAnsi="Arial" w:cs="Arial"/>
          <w:sz w:val="22"/>
          <w:szCs w:val="22"/>
        </w:rPr>
        <w:t>existing analytical solutions such as the Niftymic</w:t>
      </w:r>
      <w:r w:rsidR="0036306D">
        <w:rPr>
          <w:rFonts w:ascii="Arial" w:hAnsi="Arial" w:cs="Arial"/>
          <w:sz w:val="22"/>
          <w:szCs w:val="22"/>
        </w:rPr>
        <w:fldChar w:fldCharType="begin" w:fldLock="1"/>
      </w:r>
      <w:r w:rsidR="0036306D">
        <w:rPr>
          <w:rFonts w:ascii="Arial" w:hAnsi="Arial" w:cs="Arial"/>
          <w:sz w:val="22"/>
          <w:szCs w:val="22"/>
        </w:rPr>
        <w:instrText>ADDIN CSL_CITATION {"citationItems":[{"id":"ITEM-1","itemData":{"DOI":"10.1016/j.neuroimage.2019.116324","ISSN":"10959572","abstract":"High-resolution volume reconstruction from multiple motion-corrupted stacks of 2D slices plays an increasing role for fetal brain Magnetic Resonance Imaging (MRI) studies. Currently existing reconstruction methods are time-consuming and often require user interactions to localize and extract the brain from several stacks of 2D slices. We propose a fully automatic framework for fetal brain reconstruction that consists of four stages: 1) fetal brain localization based on a coarse segmentation by a Convolutional Neural Network (CNN), 2) fine segmentation by another CNN trained with a multi-scale loss function, 3) novel, single-parameter outlier-robust super-resolution reconstruction, and 4) fast and automatic high-resolution visualization in standard anatomical space suitable for pathological brains. We validated our framework with images from fetuses with normal brains and with variable degrees of ventriculomegaly associated with open spina bifida, a congenital malformation affecting also the brain. Experiments show that each step of our proposed pipeline outperforms state-of-the-art methods in both segmentation and reconstruction comparisons including expert-reader quality assessments. The reconstruction results of our proposed method compare favorably with those obtained by manual, labor-intensive brain segmentation, which unlocks the potential use of automatic fetal brain reconstruction studies in clinical practice.","author":[{"dropping-particle":"","family":"Ebner","given":"Michael","non-dropping-particle":"","parse-names":false,"suffix":""},{"dropping-particle":"","family":"Wang","given":"Guotai","non-dropping-particle":"","parse-names":false,"suffix":""},{"dropping-particle":"","family":"Li","given":"Wenqi","non-dropping-particle":"","parse-names":false,"suffix":""},{"dropping-particle":"","family":"Aertsen","given":"Michael","non-dropping-particle":"","parse-names":false,"suffix":""},{"dropping-particle":"","family":"Patel","given":"Premal A.","non-dropping-particle":"","parse-names":false,"suffix":""},{"dropping-particle":"","family":"Aughwane","given":"Rosalind","non-dropping-particle":"","parse-names":false,"suffix":""},{"dropping-particle":"","family":"Melbourne","given":"Andrew","non-dropping-particle":"","parse-names":false,"suffix":""},{"dropping-particle":"","family":"Doel","given":"Tom","non-dropping-particle":"","parse-names":false,"suffix":""},{"dropping-particle":"","family":"Dymarkowski","given":"Steven","non-dropping-particle":"","parse-names":false,"suffix":""},{"dropping-particle":"","family":"Coppi","given":"Paolo","non-dropping-particle":"De","parse-names":false,"suffix":""},{"dropping-particle":"","family":"David","given":"Anna L.","non-dropping-particle":"","parse-names":false,"suffix":""},{"dropping-particle":"","family":"Deprest","given":"Jan","non-dropping-particle":"","parse-names":false,"suffix":""},{"dropping-particle":"","family":"Ourselin","given":"Sébastien","non-dropping-particle":"","parse-names":false,"suffix":""},{"dropping-particle":"","family":"Vercauteren","given":"Tom","non-dropping-particle":"","parse-names":false,"suffix":""}],"container-title":"NeuroImage","id":"ITEM-1","issued":{"date-parts":[["2020"]]},"title":"An automated framework for localization, segmentation and super-resolution reconstruction of fetal brain MRI","type":"article-journal","volume":"206"},"uris":["http://www.mendeley.com/documents/?uuid=25ba2590-d08e-318b-937d-9d43eecd4470"]}],"mendeley":{"formattedCitation":"&lt;sup&gt;4&lt;/sup&gt;","plainTextFormattedCitation":"4"},"properties":{"noteIndex":0},"schema":"https://github.com/citation-style-language/schema/raw/master/csl-citation.json"}</w:instrText>
      </w:r>
      <w:r w:rsidR="0036306D">
        <w:rPr>
          <w:rFonts w:ascii="Arial" w:hAnsi="Arial" w:cs="Arial"/>
          <w:sz w:val="22"/>
          <w:szCs w:val="22"/>
        </w:rPr>
        <w:fldChar w:fldCharType="separate"/>
      </w:r>
      <w:r w:rsidR="0036306D" w:rsidRPr="0036306D">
        <w:rPr>
          <w:rFonts w:ascii="Arial" w:hAnsi="Arial" w:cs="Arial"/>
          <w:noProof/>
          <w:sz w:val="22"/>
          <w:szCs w:val="22"/>
          <w:vertAlign w:val="superscript"/>
        </w:rPr>
        <w:t>4</w:t>
      </w:r>
      <w:r w:rsidR="0036306D">
        <w:rPr>
          <w:rFonts w:ascii="Arial" w:hAnsi="Arial" w:cs="Arial"/>
          <w:sz w:val="22"/>
          <w:szCs w:val="22"/>
        </w:rPr>
        <w:fldChar w:fldCharType="end"/>
      </w:r>
    </w:p>
    <w:p w:rsidR="00F7605C" w:rsidRPr="0036306D" w:rsidRDefault="00F7605C" w:rsidP="00F7605C">
      <w:pPr>
        <w:rPr>
          <w:rFonts w:ascii="Arial" w:hAnsi="Arial" w:cs="Arial"/>
          <w:sz w:val="22"/>
          <w:szCs w:val="22"/>
        </w:rPr>
      </w:pPr>
    </w:p>
    <w:p w:rsidR="00F7605C" w:rsidRPr="0036306D" w:rsidRDefault="008111C7" w:rsidP="00F7605C">
      <w:pPr>
        <w:pStyle w:val="ListParagraph"/>
        <w:numPr>
          <w:ilvl w:val="0"/>
          <w:numId w:val="1"/>
        </w:numPr>
        <w:rPr>
          <w:rFonts w:ascii="Arial" w:hAnsi="Arial" w:cs="Arial"/>
          <w:b/>
          <w:bCs/>
          <w:sz w:val="22"/>
          <w:szCs w:val="22"/>
        </w:rPr>
      </w:pPr>
      <w:r>
        <w:rPr>
          <w:rFonts w:ascii="Arial" w:hAnsi="Arial" w:cs="Arial"/>
          <w:b/>
          <w:bCs/>
          <w:sz w:val="22"/>
          <w:szCs w:val="22"/>
        </w:rPr>
        <w:t>Generator (</w:t>
      </w:r>
      <w:r w:rsidR="00F7605C" w:rsidRPr="0036306D">
        <w:rPr>
          <w:rFonts w:ascii="Arial" w:hAnsi="Arial" w:cs="Arial"/>
          <w:b/>
          <w:bCs/>
          <w:sz w:val="22"/>
          <w:szCs w:val="22"/>
        </w:rPr>
        <w:t>Training</w:t>
      </w:r>
      <w:r>
        <w:rPr>
          <w:rFonts w:ascii="Arial" w:hAnsi="Arial" w:cs="Arial"/>
          <w:b/>
          <w:bCs/>
          <w:sz w:val="22"/>
          <w:szCs w:val="22"/>
        </w:rPr>
        <w:t xml:space="preserve"> data)</w:t>
      </w:r>
      <w:bookmarkStart w:id="0" w:name="_GoBack"/>
      <w:bookmarkEnd w:id="0"/>
      <w:r w:rsidR="00F7605C" w:rsidRPr="0036306D">
        <w:rPr>
          <w:rFonts w:ascii="Arial" w:hAnsi="Arial" w:cs="Arial"/>
          <w:b/>
          <w:bCs/>
          <w:sz w:val="22"/>
          <w:szCs w:val="22"/>
        </w:rPr>
        <w:t>:</w:t>
      </w:r>
      <w:r w:rsidR="00247935" w:rsidRPr="0036306D">
        <w:rPr>
          <w:rFonts w:ascii="Arial" w:hAnsi="Arial" w:cs="Arial"/>
          <w:b/>
          <w:bCs/>
          <w:sz w:val="22"/>
          <w:szCs w:val="22"/>
        </w:rPr>
        <w:t xml:space="preserve"> </w:t>
      </w:r>
      <w:r w:rsidR="00247935" w:rsidRPr="0036306D">
        <w:rPr>
          <w:rFonts w:ascii="Arial" w:hAnsi="Arial" w:cs="Arial"/>
          <w:sz w:val="22"/>
          <w:szCs w:val="22"/>
        </w:rPr>
        <w:t xml:space="preserve">We will exclusively train on 3D data acquired at 3T and use the low-field data for our validation studies. Our previous denoising </w:t>
      </w:r>
      <w:r w:rsidR="00AE61B2" w:rsidRPr="0036306D">
        <w:rPr>
          <w:rFonts w:ascii="Arial" w:hAnsi="Arial" w:cs="Arial"/>
          <w:sz w:val="22"/>
          <w:szCs w:val="22"/>
        </w:rPr>
        <w:fldChar w:fldCharType="begin" w:fldLock="1"/>
      </w:r>
      <w:r w:rsidR="0036306D">
        <w:rPr>
          <w:rFonts w:ascii="Arial" w:hAnsi="Arial" w:cs="Arial"/>
          <w:sz w:val="22"/>
          <w:szCs w:val="22"/>
        </w:rPr>
        <w:instrText>ADDIN CSL_CITATION {"citationItems":[{"id":"ITEM-1","itemData":{"author":[{"dropping-particle":"","family":"Geethanath","given":"Sairam","non-dropping-particle":"","parse-names":false,"suffix":""},{"dropping-particle":"","family":"Poojar","given":"Pavan","non-dropping-particle":"","parse-names":false,"suffix":""},{"dropping-particle":"","family":"Ravi","given":"Keerthi Sravan","non-dropping-particle":"","parse-names":false,"suffix":""},{"dropping-particle":"","family":"Ogbole","given":"Godwin","non-dropping-particle":"","parse-names":false,"suffix":""}],"container-title":"International Society for Magnetic Resonance in Medicine2","id":"ITEM-1","issued":{"date-parts":[["2021"]]},"page":"2405","title":"MRI denoising using native noise","type":"paper-conference"},"uris":["http://www.mendeley.com/documents/?uuid=bdaabba9-672d-44e2-bb39-c5bab8293cca"]},{"id":"ITEM-2","itemData":{"DOI":"10.1002/mp.15465","ISSN":"00942405","abstract":"Purpose: The goals of this study include: (a) generating tailored magnetic resonance fingerprinting (TMRF) based non-synthetic imaging; (b) assessing the repeatability of TMRF and deep learning-based mapping of in vitro ISMRM/NIST phantom and in vivo brain data of healthy human subjects. Methods: We have acquired qualitative images obtained from the vendor-supplied gold standard (GS), MRF (synthetic), and TMRF (non-synthetic) on one representative healthy human brain. We also acquired 30 datasets on the ISMRM/NIST phantom for the in vitro repeatability study on a GE Discovery 3T MR750w scanner using the TMRF sequence. We compared T1 and T2 maps generated from 30 ISMRM/NIST phantom datasets to the spin-echo (SE) based GS method as part of the in vitro repeatability study. R-squared coefficient of determination in a simple linear regression and Bland–Altman analysis were computed for 30 datasets of ISMRM/NIST phantom to assess the accuracy of in vitro quantitative TMRF data. The repeatability of T1 and T2 estimates by TMRF was evaluated by calculating the standard deviation (SD) divided by the average of 30 datasets for each sphere, respectively. We acquired 10 volunteers for the in vivo repeatability study on the same scanner using the same TMRF sequence. These volunteers were imaged five times with two runs per repetition, resulting in 100 in vivo datasets. Five contrasts, T1 and T2 maps of 10 human volunteers acquired over five repetitions, were evaluated in the in vivo repeatability study. We computed the intraclass correlation coefficient (ICC) of the signal-to-noise ratio (SNR), signal intensities, T1 and T2 relaxation times in white matter (WM), and gray matter (GM). Results: The synthetic images generated from MRF show partial volume and flow artifacts compared to non-synthetic images obtained from TMRF images and the GS. In vitro studies show that TMRF estimates have less than 5% variations except sphere 14 in the T2 array (6.36%). TMRF and SE relaxometry measurements were strongly correlated; R2 values were 0.9958 and 0.9789 for T1 and T2 estimates, respectively. Based on the ICC values, SNR, mean intensity values, and relaxation times of WM and GM for the in vivo studies were consistent. T1 and T2 values of WM and GM were similar to previously published values. The mean ± SD of T1 and T2 for WM for ten subjects and five repeats are 992 ± 41 ms and 99 ± 6 ms, while the corresponding values for T1 and T2 for GM are 1598 ± 73 ms and 152 ± 14 ms. C…","author":[{"dropping-particle":"","family":"Qian","given":"Enlin","non-dropping-particle":"","parse-names":false,"suffix":""},{"dropping-particle":"","family":"Poojar","given":"Pavan","non-dropping-particle":"","parse-names":false,"suffix":""},{"dropping-particle":"","family":"Vaughan","given":"John Thomas","non-dropping-particle":"","parse-names":false,"suffix":""},{"dropping-particle":"","family":"Jin","given":"Zhezhen","non-dropping-particle":"","parse-names":false,"suffix":""},{"dropping-particle":"","family":"Geethanath","given":"Sairam","non-dropping-particle":"","parse-names":false,"suffix":""}],"container-title":"Medical Physics","id":"ITEM-2","issue":"3","issued":{"date-parts":[["2022"]]},"title":"Tailored magnetic resonance fingerprinting for simultaneous non-synthetic and quantitative imaging: A repeatability study","type":"article-journal","volume":"49"},"uris":["http://www.mendeley.com/documents/?uuid=66c65c7b-a581-319d-b1c2-744ba7d8e6e5"]},{"id":"ITEM-3","itemData":{"DOI":"10.1016/j.clinimag.2023.07.004","ISSN":"18734499","abstract":"Purpose: Brain and spinal cord tumors are the second most common cancer in children and account for one out of four cancers diagnosed. However, the long acquisition times associated with acquiring both data types prohibit using quantitative MR (qMR) in pediatric imaging protocols. This study aims to demonstrate the tailored magnetic resonance fingerprinting's (TMRF) ability to simultaneously provide quantitative maps (T1, T2) and multi-contrast qualitative images (T1 weighted, T1 FLAIR, T2 weighted) rapidly in pediatric brain tumor patients. Methods: In this work, we imaged five pediatric patients with brain tumors (resected/residual) using TMRF at 3 T. We compared the TMRF-derived T2 weighted images with those from the vendor-supplied sequence (as the gold standard, GS) for healthy and pathological tissue signal intensities. The relaxometric maps from TMRF were subjected to a region of interest (ROI) analysis to differentiate between healthy and pathological tissues. We performed the Wilcoxon rank sum test to check for significant differences between the two tissue types. Results: We found significant differences (p &lt; 0.05) in both T1 and T2 ROI values between the two tissue types. A strong correlation was found between the TMRF-based T2 weighted and GS signal intensities for the healthy (correlation coefficient, r = 0.99) and pathological tissues (r = 0.88). Conclusion: The TMRF implementation provides the two relaxometric maps and can potentially save ~2 min if it replaces the T2-weighted imaging in the current protocol.","author":[{"dropping-particle":"","family":"Poojar","given":"Pavan","non-dropping-particle":"","parse-names":false,"suffix":""},{"dropping-particle":"","family":"Qian","given":"Enlin","non-dropping-particle":"","parse-names":false,"suffix":""},{"dropping-particle":"","family":"Jin","given":"Zhezhen","non-dropping-particle":"","parse-names":false,"suffix":""},{"dropping-particle":"","family":"Fung","given":"Maggie","non-dropping-particle":"","parse-names":false,"suffix":""},{"dropping-particle":"","family":"Maddocks","given":"Alexis B.","non-dropping-particle":"","parse-names":false,"suffix":""},{"dropping-particle":"","family":"Geethanath","given":"Sairam","non-dropping-particle":"","parse-names":false,"suffix":""}],"container-title":"Clinical Imaging","id":"ITEM-3","issued":{"date-parts":[["2023"]]},"title":"Tailored magnetic resonance fingerprinting of post-operative pediatric brain tumor patients","type":"article-journal","volume":"102"},"uris":["http://www.mendeley.com/documents/?uuid=0ea75862-ec21-3246-9f8c-2389e9b9a91b"]}],"mendeley":{"formattedCitation":"&lt;sup&gt;5–7&lt;/sup&gt;","plainTextFormattedCitation":"5–7","previouslyFormattedCitation":"&lt;sup&gt;4–6&lt;/sup&gt;"},"properties":{"noteIndex":0},"schema":"https://github.com/citation-style-language/schema/raw/master/csl-citation.json"}</w:instrText>
      </w:r>
      <w:r w:rsidR="00AE61B2" w:rsidRPr="0036306D">
        <w:rPr>
          <w:rFonts w:ascii="Arial" w:hAnsi="Arial" w:cs="Arial"/>
          <w:sz w:val="22"/>
          <w:szCs w:val="22"/>
        </w:rPr>
        <w:fldChar w:fldCharType="separate"/>
      </w:r>
      <w:r w:rsidR="0036306D" w:rsidRPr="0036306D">
        <w:rPr>
          <w:rFonts w:ascii="Arial" w:hAnsi="Arial" w:cs="Arial"/>
          <w:noProof/>
          <w:sz w:val="22"/>
          <w:szCs w:val="22"/>
          <w:vertAlign w:val="superscript"/>
        </w:rPr>
        <w:t>5–7</w:t>
      </w:r>
      <w:r w:rsidR="00AE61B2" w:rsidRPr="0036306D">
        <w:rPr>
          <w:rFonts w:ascii="Arial" w:hAnsi="Arial" w:cs="Arial"/>
          <w:sz w:val="22"/>
          <w:szCs w:val="22"/>
        </w:rPr>
        <w:fldChar w:fldCharType="end"/>
      </w:r>
      <w:r w:rsidR="00247935" w:rsidRPr="0036306D">
        <w:rPr>
          <w:rFonts w:ascii="Arial" w:hAnsi="Arial" w:cs="Arial"/>
          <w:sz w:val="22"/>
          <w:szCs w:val="22"/>
        </w:rPr>
        <w:t xml:space="preserve"> and motion modeling </w:t>
      </w:r>
      <w:r w:rsidR="00AE61B2" w:rsidRPr="0036306D">
        <w:rPr>
          <w:rFonts w:ascii="Arial" w:hAnsi="Arial" w:cs="Arial"/>
          <w:sz w:val="22"/>
          <w:szCs w:val="22"/>
        </w:rPr>
        <w:fldChar w:fldCharType="begin" w:fldLock="1"/>
      </w:r>
      <w:r w:rsidR="0036306D">
        <w:rPr>
          <w:rFonts w:ascii="Arial" w:hAnsi="Arial" w:cs="Arial"/>
          <w:sz w:val="22"/>
          <w:szCs w:val="22"/>
        </w:rPr>
        <w:instrText>ADDIN CSL_CITATION {"citationItems":[{"id":"ITEM-1","itemData":{"DOI":"10.1016/j.mri.2022.02.002","ISSN":"18735894","abstract":"Low-field MR scanners are more accessible in resource-constrained settings where skilled personnel are scarce. Images acquired in such scenarios are prone to artifacts such as wrap-around and Gibbs ringing. Such artifacts negatively affect the diagnostic quality and may be confused with pathology or reduce the region of interest visibility. As a first step solution, ArtifactID identifies wrap-around and Gibbs ringing in low-field brain MRI. We utilized two datasets: 179 T1-weighted pathological brain images from a 0.36 T scanner and 581 publicly available T1-weighted brain images. Individual binary classification models were trained to identify through-plane wrap-around, in-plane wrap-around, and Gibbs ringing. Visual explanations obtained via the GradCAM method helped develop trust in the wrap-around model. The mean precision and recall metrics across the four implemented models were 97.6% and 92.83% respectively. Agreement analysis of the models and the radiologists' labels returned Cohen's kappa values of 0.768 ± 0.062, 1.00 ± 0.000, 0.89 ± 0.085, and 0.878 ± 0.103 for the through-plane wrap-around, in-plane wrap-around, and Gibbs ringing models, respectively.","author":[{"dropping-particle":"","family":"Manso Jimeno","given":"Marina","non-dropping-particle":"","parse-names":false,"suffix":""},{"dropping-particle":"","family":"Ravi","given":"Keerthi Sravan","non-dropping-particle":"","parse-names":false,"suffix":""},{"dropping-particle":"","family":"Jin","given":"Zhezhen","non-dropping-particle":"","parse-names":false,"suffix":""},{"dropping-particle":"","family":"Oyekunle","given":"Dotun","non-dropping-particle":"","parse-names":false,"suffix":""},{"dropping-particle":"","family":"Ogbole","given":"Godwin","non-dropping-particle":"","parse-names":false,"suffix":""},{"dropping-particle":"","family":"Geethanath","given":"Sairam","non-dropping-particle":"","parse-names":false,"suffix":""}],"container-title":"Magnetic Resonance Imaging","id":"ITEM-1","issued":{"date-parts":[["2022"]]},"title":"ArtifactID: Identifying artifacts in low-field MRI of the brain using deep learning","type":"article-journal","volume":"89"},"uris":["http://www.mendeley.com/documents/?uuid=1beff2a1-d9cd-3648-b927-44953f2ee9de"]},{"id":"ITEM-2","itemData":{"author":[{"dropping-particle":"","family":"Jimeno","given":"Marina Manso","non-dropping-particle":"","parse-names":false,"suffix":""},{"dropping-particle":"","family":"Ravi","given":"Keerthi Sravan","non-dropping-particle":"","parse-names":false,"suffix":""},{"dropping-particle":"","family":"Vaughan","given":"John Thomas Jr.","non-dropping-particle":"","parse-names":false,"suffix":""},{"dropping-particle":"","family":"Geethanath","given":"Sairam","non-dropping-particle":"","parse-names":false,"suffix":""}],"container-title":"Inteernational society for magnetic resonance in medicine","id":"ITEM-2","issued":{"date-parts":[["2022"]]},"title":"Inline artifact identification using segmented acquisitions and deep learning","type":"paper-conference"},"uris":["http://www.mendeley.com/documents/?uuid=1552b848-7bab-4e4d-b9c4-10da562000e3"]}],"mendeley":{"formattedCitation":"&lt;sup&gt;8,9&lt;/sup&gt;","plainTextFormattedCitation":"8,9","previouslyFormattedCitation":"&lt;sup&gt;7,8&lt;/sup&gt;"},"properties":{"noteIndex":0},"schema":"https://github.com/citation-style-language/schema/raw/master/csl-citation.json"}</w:instrText>
      </w:r>
      <w:r w:rsidR="00AE61B2" w:rsidRPr="0036306D">
        <w:rPr>
          <w:rFonts w:ascii="Arial" w:hAnsi="Arial" w:cs="Arial"/>
          <w:sz w:val="22"/>
          <w:szCs w:val="22"/>
        </w:rPr>
        <w:fldChar w:fldCharType="separate"/>
      </w:r>
      <w:r w:rsidR="0036306D" w:rsidRPr="0036306D">
        <w:rPr>
          <w:rFonts w:ascii="Arial" w:hAnsi="Arial" w:cs="Arial"/>
          <w:noProof/>
          <w:sz w:val="22"/>
          <w:szCs w:val="22"/>
          <w:vertAlign w:val="superscript"/>
        </w:rPr>
        <w:t>8,9</w:t>
      </w:r>
      <w:r w:rsidR="00AE61B2" w:rsidRPr="0036306D">
        <w:rPr>
          <w:rFonts w:ascii="Arial" w:hAnsi="Arial" w:cs="Arial"/>
          <w:sz w:val="22"/>
          <w:szCs w:val="22"/>
        </w:rPr>
        <w:fldChar w:fldCharType="end"/>
      </w:r>
      <w:r w:rsidR="00247935" w:rsidRPr="0036306D">
        <w:rPr>
          <w:rFonts w:ascii="Arial" w:hAnsi="Arial" w:cs="Arial"/>
          <w:sz w:val="22"/>
          <w:szCs w:val="22"/>
        </w:rPr>
        <w:t xml:space="preserve"> capabilities will help corrupt images.</w:t>
      </w:r>
    </w:p>
    <w:p w:rsidR="00F7605C" w:rsidRPr="0036306D" w:rsidRDefault="00F7605C" w:rsidP="00F7605C">
      <w:pPr>
        <w:rPr>
          <w:rFonts w:ascii="Arial" w:hAnsi="Arial" w:cs="Arial"/>
          <w:sz w:val="22"/>
          <w:szCs w:val="22"/>
        </w:rPr>
      </w:pPr>
    </w:p>
    <w:p w:rsidR="00F7605C" w:rsidRPr="0036306D" w:rsidRDefault="00F7605C" w:rsidP="00F7605C">
      <w:pPr>
        <w:pStyle w:val="ListParagraph"/>
        <w:numPr>
          <w:ilvl w:val="0"/>
          <w:numId w:val="1"/>
        </w:numPr>
        <w:rPr>
          <w:rFonts w:ascii="Arial" w:hAnsi="Arial" w:cs="Arial"/>
          <w:b/>
          <w:bCs/>
          <w:sz w:val="22"/>
          <w:szCs w:val="22"/>
        </w:rPr>
      </w:pPr>
      <w:r w:rsidRPr="0036306D">
        <w:rPr>
          <w:rFonts w:ascii="Arial" w:hAnsi="Arial" w:cs="Arial"/>
          <w:b/>
          <w:bCs/>
          <w:sz w:val="22"/>
          <w:szCs w:val="22"/>
        </w:rPr>
        <w:t>Network:</w:t>
      </w:r>
      <w:r w:rsidR="00247935" w:rsidRPr="0036306D">
        <w:rPr>
          <w:rFonts w:ascii="Arial" w:hAnsi="Arial" w:cs="Arial"/>
          <w:b/>
          <w:bCs/>
          <w:sz w:val="22"/>
          <w:szCs w:val="22"/>
        </w:rPr>
        <w:t xml:space="preserve"> </w:t>
      </w:r>
      <w:r w:rsidR="00247935" w:rsidRPr="0036306D">
        <w:rPr>
          <w:rFonts w:ascii="Arial" w:hAnsi="Arial" w:cs="Arial"/>
          <w:sz w:val="22"/>
          <w:szCs w:val="22"/>
        </w:rPr>
        <w:t>We will use a combination of residual networks and U-net for the SRR task in a cascaded manner that exploits multi-scale implementations.</w:t>
      </w:r>
    </w:p>
    <w:p w:rsidR="00F7605C" w:rsidRPr="0036306D" w:rsidRDefault="00F7605C" w:rsidP="00F7605C">
      <w:pPr>
        <w:rPr>
          <w:rFonts w:ascii="Arial" w:hAnsi="Arial" w:cs="Arial"/>
          <w:sz w:val="22"/>
          <w:szCs w:val="22"/>
        </w:rPr>
      </w:pPr>
    </w:p>
    <w:p w:rsidR="00F7605C" w:rsidRPr="0036306D" w:rsidRDefault="00F7605C" w:rsidP="00F7605C">
      <w:pPr>
        <w:pStyle w:val="ListParagraph"/>
        <w:numPr>
          <w:ilvl w:val="0"/>
          <w:numId w:val="1"/>
        </w:numPr>
        <w:rPr>
          <w:rFonts w:ascii="Arial" w:hAnsi="Arial" w:cs="Arial"/>
          <w:b/>
          <w:bCs/>
          <w:sz w:val="22"/>
          <w:szCs w:val="22"/>
        </w:rPr>
      </w:pPr>
      <w:r w:rsidRPr="0036306D">
        <w:rPr>
          <w:rFonts w:ascii="Arial" w:hAnsi="Arial" w:cs="Arial"/>
          <w:b/>
          <w:bCs/>
          <w:sz w:val="22"/>
          <w:szCs w:val="22"/>
        </w:rPr>
        <w:t>Testing:</w:t>
      </w:r>
      <w:r w:rsidR="00247935" w:rsidRPr="0036306D">
        <w:rPr>
          <w:rFonts w:ascii="Arial" w:hAnsi="Arial" w:cs="Arial"/>
          <w:b/>
          <w:bCs/>
          <w:sz w:val="22"/>
          <w:szCs w:val="22"/>
        </w:rPr>
        <w:t xml:space="preserve"> </w:t>
      </w:r>
      <w:r w:rsidR="00247935" w:rsidRPr="0036306D">
        <w:rPr>
          <w:rFonts w:ascii="Arial" w:hAnsi="Arial" w:cs="Arial"/>
          <w:sz w:val="22"/>
          <w:szCs w:val="22"/>
        </w:rPr>
        <w:t xml:space="preserve">The paired 3T and 0.064T data will serve as test data quantified for structural similarity index measure, peak signal-to-noise ratio, and brain </w:t>
      </w:r>
      <w:proofErr w:type="spellStart"/>
      <w:r w:rsidR="00247935" w:rsidRPr="0036306D">
        <w:rPr>
          <w:rFonts w:ascii="Arial" w:hAnsi="Arial" w:cs="Arial"/>
          <w:sz w:val="22"/>
          <w:szCs w:val="22"/>
        </w:rPr>
        <w:t>volumetry</w:t>
      </w:r>
      <w:proofErr w:type="spellEnd"/>
      <w:r w:rsidR="00247935" w:rsidRPr="0036306D">
        <w:rPr>
          <w:rFonts w:ascii="Arial" w:hAnsi="Arial" w:cs="Arial"/>
          <w:sz w:val="22"/>
          <w:szCs w:val="22"/>
        </w:rPr>
        <w:t>. Any differences in contrast between 3T and 0.064T data will be addressed by computation of normalized mutual information.</w:t>
      </w:r>
    </w:p>
    <w:p w:rsidR="00F7605C" w:rsidRPr="0036306D" w:rsidRDefault="00F7605C" w:rsidP="00F7605C">
      <w:pPr>
        <w:rPr>
          <w:rFonts w:ascii="Arial" w:hAnsi="Arial" w:cs="Arial"/>
          <w:sz w:val="22"/>
          <w:szCs w:val="22"/>
        </w:rPr>
      </w:pPr>
    </w:p>
    <w:p w:rsidR="00F7605C" w:rsidRPr="0036306D" w:rsidRDefault="00F7605C" w:rsidP="00F7605C">
      <w:pPr>
        <w:rPr>
          <w:rFonts w:ascii="Arial" w:hAnsi="Arial" w:cs="Arial"/>
          <w:sz w:val="22"/>
          <w:szCs w:val="22"/>
        </w:rPr>
      </w:pPr>
    </w:p>
    <w:p w:rsidR="00F7605C" w:rsidRPr="0036306D" w:rsidRDefault="00F7605C" w:rsidP="00F7605C">
      <w:pPr>
        <w:rPr>
          <w:rFonts w:ascii="Arial" w:hAnsi="Arial" w:cs="Arial"/>
          <w:sz w:val="22"/>
          <w:szCs w:val="22"/>
        </w:rPr>
      </w:pPr>
    </w:p>
    <w:p w:rsidR="00F7605C" w:rsidRPr="0036306D" w:rsidRDefault="00F7605C" w:rsidP="00F7605C">
      <w:pPr>
        <w:rPr>
          <w:rFonts w:ascii="Arial" w:hAnsi="Arial" w:cs="Arial"/>
          <w:sz w:val="22"/>
          <w:szCs w:val="22"/>
        </w:rPr>
      </w:pPr>
    </w:p>
    <w:sectPr w:rsidR="00F7605C" w:rsidRPr="0036306D" w:rsidSect="007F673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26D0222"/>
    <w:multiLevelType w:val="hybridMultilevel"/>
    <w:tmpl w:val="CDDAC04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85"/>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605C"/>
    <w:rsid w:val="00053855"/>
    <w:rsid w:val="0020267F"/>
    <w:rsid w:val="0021054C"/>
    <w:rsid w:val="00247935"/>
    <w:rsid w:val="00353AA3"/>
    <w:rsid w:val="0036306D"/>
    <w:rsid w:val="003A02B0"/>
    <w:rsid w:val="003E618A"/>
    <w:rsid w:val="004C3058"/>
    <w:rsid w:val="00647FB9"/>
    <w:rsid w:val="006853B9"/>
    <w:rsid w:val="006C5C5F"/>
    <w:rsid w:val="006C5CAE"/>
    <w:rsid w:val="006F2349"/>
    <w:rsid w:val="00757570"/>
    <w:rsid w:val="0078008D"/>
    <w:rsid w:val="007C1D19"/>
    <w:rsid w:val="007F673A"/>
    <w:rsid w:val="008111C7"/>
    <w:rsid w:val="00873E74"/>
    <w:rsid w:val="00923861"/>
    <w:rsid w:val="00984B0E"/>
    <w:rsid w:val="009A5000"/>
    <w:rsid w:val="00A614F1"/>
    <w:rsid w:val="00AE61B2"/>
    <w:rsid w:val="00B033D1"/>
    <w:rsid w:val="00B67A65"/>
    <w:rsid w:val="00C14191"/>
    <w:rsid w:val="00C545FB"/>
    <w:rsid w:val="00CA0C6B"/>
    <w:rsid w:val="00D63F2F"/>
    <w:rsid w:val="00F4702E"/>
    <w:rsid w:val="00F760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1A70FE"/>
  <w15:chartTrackingRefBased/>
  <w15:docId w15:val="{7313F839-811A-514B-9E86-A29EC41D2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033D1"/>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B033D1"/>
    <w:rPr>
      <w:rFonts w:ascii="Times New Roman" w:hAnsi="Times New Roman" w:cs="Times New Roman"/>
      <w:sz w:val="18"/>
      <w:szCs w:val="18"/>
    </w:rPr>
  </w:style>
  <w:style w:type="paragraph" w:styleId="ListParagraph">
    <w:name w:val="List Paragraph"/>
    <w:basedOn w:val="Normal"/>
    <w:uiPriority w:val="34"/>
    <w:qFormat/>
    <w:rsid w:val="00F7605C"/>
    <w:pPr>
      <w:ind w:left="720"/>
      <w:contextualSpacing/>
    </w:pPr>
  </w:style>
  <w:style w:type="character" w:styleId="Hyperlink">
    <w:name w:val="Hyperlink"/>
    <w:basedOn w:val="DefaultParagraphFont"/>
    <w:uiPriority w:val="99"/>
    <w:unhideWhenUsed/>
    <w:rsid w:val="0020267F"/>
    <w:rPr>
      <w:color w:val="0563C1" w:themeColor="hyperlink"/>
      <w:u w:val="single"/>
    </w:rPr>
  </w:style>
  <w:style w:type="character" w:styleId="UnresolvedMention">
    <w:name w:val="Unresolved Mention"/>
    <w:basedOn w:val="DefaultParagraphFont"/>
    <w:uiPriority w:val="99"/>
    <w:semiHidden/>
    <w:unhideWhenUsed/>
    <w:rsid w:val="0020267F"/>
    <w:rPr>
      <w:color w:val="605E5C"/>
      <w:shd w:val="clear" w:color="auto" w:fill="E1DFDD"/>
    </w:rPr>
  </w:style>
  <w:style w:type="character" w:styleId="FollowedHyperlink">
    <w:name w:val="FollowedHyperlink"/>
    <w:basedOn w:val="DefaultParagraphFont"/>
    <w:uiPriority w:val="99"/>
    <w:semiHidden/>
    <w:unhideWhenUsed/>
    <w:rsid w:val="0020267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6548169">
      <w:bodyDiv w:val="1"/>
      <w:marLeft w:val="0"/>
      <w:marRight w:val="0"/>
      <w:marTop w:val="0"/>
      <w:marBottom w:val="0"/>
      <w:divBdr>
        <w:top w:val="none" w:sz="0" w:space="0" w:color="auto"/>
        <w:left w:val="none" w:sz="0" w:space="0" w:color="auto"/>
        <w:bottom w:val="none" w:sz="0" w:space="0" w:color="auto"/>
        <w:right w:val="none" w:sz="0" w:space="0" w:color="auto"/>
      </w:divBdr>
    </w:div>
    <w:div w:id="314381471">
      <w:bodyDiv w:val="1"/>
      <w:marLeft w:val="0"/>
      <w:marRight w:val="0"/>
      <w:marTop w:val="0"/>
      <w:marBottom w:val="0"/>
      <w:divBdr>
        <w:top w:val="none" w:sz="0" w:space="0" w:color="auto"/>
        <w:left w:val="none" w:sz="0" w:space="0" w:color="auto"/>
        <w:bottom w:val="none" w:sz="0" w:space="0" w:color="auto"/>
        <w:right w:val="none" w:sz="0" w:space="0" w:color="auto"/>
      </w:divBdr>
    </w:div>
    <w:div w:id="605692793">
      <w:bodyDiv w:val="1"/>
      <w:marLeft w:val="0"/>
      <w:marRight w:val="0"/>
      <w:marTop w:val="0"/>
      <w:marBottom w:val="0"/>
      <w:divBdr>
        <w:top w:val="none" w:sz="0" w:space="0" w:color="auto"/>
        <w:left w:val="none" w:sz="0" w:space="0" w:color="auto"/>
        <w:bottom w:val="none" w:sz="0" w:space="0" w:color="auto"/>
        <w:right w:val="none" w:sz="0" w:space="0" w:color="auto"/>
      </w:divBdr>
      <w:divsChild>
        <w:div w:id="146633711">
          <w:marLeft w:val="0"/>
          <w:marRight w:val="0"/>
          <w:marTop w:val="0"/>
          <w:marBottom w:val="0"/>
          <w:divBdr>
            <w:top w:val="none" w:sz="0" w:space="0" w:color="auto"/>
            <w:left w:val="none" w:sz="0" w:space="0" w:color="auto"/>
            <w:bottom w:val="none" w:sz="0" w:space="0" w:color="auto"/>
            <w:right w:val="none" w:sz="0" w:space="0" w:color="auto"/>
          </w:divBdr>
        </w:div>
      </w:divsChild>
    </w:div>
    <w:div w:id="768934898">
      <w:bodyDiv w:val="1"/>
      <w:marLeft w:val="0"/>
      <w:marRight w:val="0"/>
      <w:marTop w:val="0"/>
      <w:marBottom w:val="0"/>
      <w:divBdr>
        <w:top w:val="none" w:sz="0" w:space="0" w:color="auto"/>
        <w:left w:val="none" w:sz="0" w:space="0" w:color="auto"/>
        <w:bottom w:val="none" w:sz="0" w:space="0" w:color="auto"/>
        <w:right w:val="none" w:sz="0" w:space="0" w:color="auto"/>
      </w:divBdr>
      <w:divsChild>
        <w:div w:id="631330348">
          <w:marLeft w:val="0"/>
          <w:marRight w:val="0"/>
          <w:marTop w:val="0"/>
          <w:marBottom w:val="0"/>
          <w:divBdr>
            <w:top w:val="none" w:sz="0" w:space="0" w:color="auto"/>
            <w:left w:val="none" w:sz="0" w:space="0" w:color="auto"/>
            <w:bottom w:val="none" w:sz="0" w:space="0" w:color="auto"/>
            <w:right w:val="none" w:sz="0" w:space="0" w:color="auto"/>
          </w:divBdr>
        </w:div>
      </w:divsChild>
    </w:div>
    <w:div w:id="1315641975">
      <w:bodyDiv w:val="1"/>
      <w:marLeft w:val="0"/>
      <w:marRight w:val="0"/>
      <w:marTop w:val="0"/>
      <w:marBottom w:val="0"/>
      <w:divBdr>
        <w:top w:val="none" w:sz="0" w:space="0" w:color="auto"/>
        <w:left w:val="none" w:sz="0" w:space="0" w:color="auto"/>
        <w:bottom w:val="none" w:sz="0" w:space="0" w:color="auto"/>
        <w:right w:val="none" w:sz="0" w:space="0" w:color="auto"/>
      </w:divBdr>
      <w:divsChild>
        <w:div w:id="2031252386">
          <w:marLeft w:val="0"/>
          <w:marRight w:val="0"/>
          <w:marTop w:val="0"/>
          <w:marBottom w:val="0"/>
          <w:divBdr>
            <w:top w:val="none" w:sz="0" w:space="0" w:color="auto"/>
            <w:left w:val="none" w:sz="0" w:space="0" w:color="auto"/>
            <w:bottom w:val="none" w:sz="0" w:space="0" w:color="auto"/>
            <w:right w:val="none" w:sz="0" w:space="0" w:color="auto"/>
          </w:divBdr>
        </w:div>
      </w:divsChild>
    </w:div>
    <w:div w:id="1750929451">
      <w:bodyDiv w:val="1"/>
      <w:marLeft w:val="0"/>
      <w:marRight w:val="0"/>
      <w:marTop w:val="0"/>
      <w:marBottom w:val="0"/>
      <w:divBdr>
        <w:top w:val="none" w:sz="0" w:space="0" w:color="auto"/>
        <w:left w:val="none" w:sz="0" w:space="0" w:color="auto"/>
        <w:bottom w:val="none" w:sz="0" w:space="0" w:color="auto"/>
        <w:right w:val="none" w:sz="0" w:space="0" w:color="auto"/>
      </w:divBdr>
      <w:divsChild>
        <w:div w:id="120764151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doi.org/10.1101/2024.02.16.580639"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B993B3-F0E1-3144-A0C0-3D3D273F45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1</Pages>
  <Words>3978</Words>
  <Characters>22675</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Sairam Geethanath</dc:creator>
  <cp:keywords/>
  <dc:description/>
  <cp:lastModifiedBy>Sairam Geethanath</cp:lastModifiedBy>
  <cp:revision>19</cp:revision>
  <dcterms:created xsi:type="dcterms:W3CDTF">2024-03-27T11:05:00Z</dcterms:created>
  <dcterms:modified xsi:type="dcterms:W3CDTF">2024-03-27T12:53:00Z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6th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http://www.zotero.org/styles/journal-of-magnetic-resonance-imaging</vt:lpwstr>
  </property>
  <property fmtid="{D5CDD505-2E9C-101B-9397-08002B2CF9AE}" pid="17" name="Mendeley Recent Style Name 7_1">
    <vt:lpwstr>Journal Of Magnetic Resonance Imaging</vt:lpwstr>
  </property>
  <property fmtid="{D5CDD505-2E9C-101B-9397-08002B2CF9AE}" pid="18" name="Mendeley Recent Style Id 8_1">
    <vt:lpwstr>http://www.zotero.org/styles/modern-humanities-research-association</vt:lpwstr>
  </property>
  <property fmtid="{D5CDD505-2E9C-101B-9397-08002B2CF9AE}" pid="19" name="Mendeley Recent Style Name 8_1">
    <vt:lpwstr>Modern Humanities Research Association 3rd edition (note with bibliography)</vt:lpwstr>
  </property>
  <property fmtid="{D5CDD505-2E9C-101B-9397-08002B2CF9AE}" pid="20" name="Mendeley Recent Style Id 9_1">
    <vt:lpwstr>http://www.zotero.org/styles/modern-language-association</vt:lpwstr>
  </property>
  <property fmtid="{D5CDD505-2E9C-101B-9397-08002B2CF9AE}" pid="21" name="Mendeley Recent Style Name 9_1">
    <vt:lpwstr>Modern Language Association 8th edition</vt:lpwstr>
  </property>
  <property fmtid="{D5CDD505-2E9C-101B-9397-08002B2CF9AE}" pid="22" name="Mendeley Document_1">
    <vt:lpwstr>True</vt:lpwstr>
  </property>
  <property fmtid="{D5CDD505-2E9C-101B-9397-08002B2CF9AE}" pid="23" name="Mendeley Unique User Id_1">
    <vt:lpwstr>c533e281-b0fa-34d9-85bc-828eaa9682b6</vt:lpwstr>
  </property>
  <property fmtid="{D5CDD505-2E9C-101B-9397-08002B2CF9AE}" pid="24" name="Mendeley Citation Style_1">
    <vt:lpwstr>http://www.zotero.org/styles/american-medical-association</vt:lpwstr>
  </property>
</Properties>
</file>