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Email Generation Assistant</w:t>
      </w:r>
    </w:p>
    <w:p>
      <w:pPr>
        <w:jc w:val="center"/>
      </w:pPr>
      <w:r>
        <w:rPr>
          <w:color w:val="444444"/>
          <w:sz w:val="26"/>
        </w:rPr>
        <w:t>AI Engineer Candidate Assessment — Final Report</w:t>
      </w:r>
    </w:p>
    <w:p>
      <w:pPr>
        <w:jc w:val="center"/>
      </w:pPr>
      <w:r>
        <w:rPr>
          <w:color w:val="777777"/>
          <w:sz w:val="20"/>
        </w:rPr>
        <w:t>Imran Bin Hasan  ·  imranbinhasan.work@gmail.com  ·  June 2026</w:t>
      </w:r>
    </w:p>
    <w:p>
      <w:pPr>
        <w:jc w:val="center"/>
      </w:pPr>
      <w:r>
        <w:rPr>
          <w:color w:val="1A6AC8"/>
          <w:sz w:val="20"/>
        </w:rPr>
        <w:t>GitHub: github.com/imran-binhasan/email-gen-assistant</w:t>
      </w:r>
    </w:p>
    <w:p/>
    <w:p>
      <w:r>
        <w:br w:type="page"/>
      </w:r>
    </w:p>
    <w:p>
      <w:pPr>
        <w:pStyle w:val="Heading1"/>
        <w:jc w:val="left"/>
      </w:pPr>
      <w:r>
        <w:t>1. Project Overview</w:t>
      </w:r>
    </w:p>
    <w:p>
      <w:pPr>
        <w:spacing w:after="120" w:before="0"/>
      </w:pPr>
      <w:r>
        <w:t>This project builds a working Email Generation Assistant that takes three inputs — Intent, Key Facts, and Tone — and produces a polished professional email using a Google Gemini LLM. The assistant is evaluated with three custom metrics across 10 diverse scenarios, and two distinct prompting strategies are compared.</w:t>
      </w:r>
    </w:p>
    <w:p>
      <w:pPr>
        <w:pStyle w:val="Heading2"/>
        <w:jc w:val="left"/>
      </w:pPr>
      <w:r>
        <w:t>Deliverables</w:t>
      </w:r>
    </w:p>
    <w:p>
      <w:pPr>
        <w:pStyle w:val="ListBullet"/>
        <w:spacing w:after="60"/>
      </w:pPr>
      <w:r>
        <w:t>Email generator (Intent + Facts + Tone → email)</w:t>
      </w:r>
    </w:p>
    <w:p>
      <w:pPr>
        <w:pStyle w:val="ListBullet"/>
        <w:spacing w:after="60"/>
      </w:pPr>
      <w:r>
        <w:t>3 custom evaluation metrics with LLM-as-a-Judge scoring</w:t>
      </w:r>
    </w:p>
    <w:p>
      <w:pPr>
        <w:pStyle w:val="ListBullet"/>
        <w:spacing w:after="60"/>
      </w:pPr>
      <w:r>
        <w:t>10 test scenarios with human-written reference emails</w:t>
      </w:r>
    </w:p>
    <w:p>
      <w:pPr>
        <w:pStyle w:val="ListBullet"/>
        <w:spacing w:after="60"/>
      </w:pPr>
      <w:r>
        <w:t>Comparative analysis: Advanced Prompt vs Zero-shot Baseline</w:t>
      </w:r>
    </w:p>
    <w:p>
      <w:pPr>
        <w:pStyle w:val="ListBullet"/>
        <w:spacing w:after="60"/>
      </w:pPr>
      <w:r>
        <w:t>Streamlit interactive demo (streamlit_app.py)</w:t>
      </w:r>
    </w:p>
    <w:p>
      <w:pPr>
        <w:pStyle w:val="ListBullet"/>
        <w:spacing w:after="60"/>
      </w:pPr>
      <w:r>
        <w:t>Structured output: results/eval_report.json + eval_report.csv</w:t>
      </w:r>
    </w:p>
    <w:p/>
    <w:p>
      <w:pPr>
        <w:pStyle w:val="Heading1"/>
        <w:jc w:val="left"/>
      </w:pPr>
      <w:r>
        <w:t>2. Prompt Engineering Techniques</w:t>
      </w:r>
    </w:p>
    <w:p>
      <w:pPr>
        <w:spacing w:after="120" w:before="0"/>
      </w:pPr>
      <w:r>
        <w:t>Three distinct techniques are layered together in the Advanced strategy. All code lives in app/prompts.py.</w:t>
      </w:r>
    </w:p>
    <w:p>
      <w:pPr>
        <w:pStyle w:val="Heading2"/>
        <w:jc w:val="left"/>
      </w:pPr>
      <w:r>
        <w:t>Technique 1 — Role-Playing (System Prompt)</w:t>
      </w:r>
    </w:p>
    <w:p>
      <w:pPr>
        <w:spacing w:after="120" w:before="0"/>
      </w:pPr>
      <w:r>
        <w:t>The model is assigned a persona: "You are an expert professional email writer with 15 years of experience drafting business communications across industries." This anchors quality and behavioral expectations from the first token. The system prompt also lists hard rules the model must never break: no hallucinated facts, no ignored facts, no meta-commentary, always start with Subject:.</w:t>
      </w:r>
    </w:p>
    <w:p>
      <w:pPr>
        <w:pStyle w:val="Heading2"/>
        <w:jc w:val="left"/>
      </w:pPr>
      <w:r>
        <w:t>Technique 2 — Few-Shot Examples</w:t>
      </w:r>
    </w:p>
    <w:p>
      <w:pPr>
        <w:spacing w:after="120" w:before="0"/>
      </w:pPr>
      <w:r>
        <w:t>Two complete, high-quality example emails are injected before every task — one formal/confident (job application follow-up) and one urgent/direct (critical bug escalation). They span opposite tone extremes, so the model has a nearby reference regardless of the requested tone. Empirically, these eliminate the tendency to default to corporate boilerplate on non-standard tones.</w:t>
      </w:r>
    </w:p>
    <w:p>
      <w:pPr>
        <w:pStyle w:val="Heading2"/>
        <w:jc w:val="left"/>
      </w:pPr>
      <w:r>
        <w:t>Technique 3 — Dynamic Tone Hints</w:t>
      </w:r>
    </w:p>
    <w:p>
      <w:pPr>
        <w:spacing w:after="120" w:before="0"/>
      </w:pPr>
      <w:r>
        <w:t>A _tone_hint() function detects tone keywords at call time and injects targeted one-line guidance for the tones most prone to model drift:</w:t>
      </w:r>
    </w:p>
    <w:p>
      <w:pPr>
        <w:pStyle w:val="ListBullet"/>
        <w:spacing w:after="60"/>
      </w:pPr>
      <w:r>
        <w:t>Casual: "use contractions, breezy opener, never write 'I am writing to'"</w:t>
      </w:r>
    </w:p>
    <w:p>
      <w:pPr>
        <w:pStyle w:val="ListBullet"/>
        <w:spacing w:after="60"/>
      </w:pPr>
      <w:r>
        <w:t>Urgent/Direct: "no warm opener, end with a brief status line, no 'Best regards'"</w:t>
      </w:r>
    </w:p>
    <w:p>
      <w:pPr>
        <w:pStyle w:val="ListBullet"/>
        <w:spacing w:after="60"/>
      </w:pPr>
      <w:r>
        <w:t>Apologetic: "open with 'I sincerely apologize', take full responsibility first"</w:t>
      </w:r>
    </w:p>
    <w:p>
      <w:pPr>
        <w:spacing w:after="120" w:before="0"/>
      </w:pPr>
      <w:r>
        <w:t>This is the most impactful technique. Without it the model defaults to formal/corporate language regardless of tone — as demonstrated by the Baseline comparison.</w:t>
      </w:r>
    </w:p>
    <w:p>
      <w:pPr>
        <w:pStyle w:val="Heading2"/>
        <w:jc w:val="left"/>
      </w:pPr>
      <w:r>
        <w:t>Full System Prompt</w:t>
      </w:r>
    </w:p>
    <w:p>
      <w:pPr>
        <w:pStyle w:val="NoSpacing"/>
        <w:spacing w:after="120"/>
        <w:ind w:left="432"/>
      </w:pPr>
      <w:r>
        <w:rPr>
          <w:rFonts w:ascii="Courier New" w:hAnsi="Courier New"/>
          <w:sz w:val="18"/>
        </w:rPr>
        <w:t>You are an expert professional email writer with 15 years of experience drafting business communications across industries. You write emails that are clear, human, and purposeful — never robotic or overly formal.</w:t>
        <w:br/>
        <w:br/>
        <w:t>Your emails always:</w:t>
        <w:br/>
        <w:t xml:space="preserve">  - Open with a greeting appropriate to the tone</w:t>
        <w:br/>
        <w:t xml:space="preserve">  - State the purpose clearly within the first two sentences</w:t>
        <w:br/>
        <w:t xml:space="preserve">  - Weave in all provided facts naturally, never as a raw bullet list</w:t>
        <w:br/>
        <w:t xml:space="preserve">  - Match the requested tone precisely and sustain it in every sentence</w:t>
        <w:br/>
        <w:t xml:space="preserve">  - Close with a sign-off that fits the tone</w:t>
        <w:br/>
        <w:t xml:space="preserve">  - Stay concise — every sentence earns its place</w:t>
        <w:br/>
        <w:br/>
        <w:t>Tone execution:</w:t>
        <w:br/>
        <w:t xml:space="preserve">  - Casual: contractions, breezy openers, short sentences, zero corporate jargon</w:t>
        <w:br/>
        <w:t xml:space="preserve">  - Urgent/Direct: lead with the issue, 2-3 sentences per paragraph, brief status close</w:t>
        <w:br/>
        <w:t xml:space="preserve">  - Enthusiastic: energetic language, varied rhythm, genuine warmth</w:t>
        <w:br/>
        <w:t xml:space="preserve">  - Formal/Confident: structured paragraphs, no contractions, assertive phrasing</w:t>
        <w:br/>
        <w:t xml:space="preserve">  - Firm but Polite: state dates/amounts plainly, no "gentle reminder"</w:t>
        <w:br/>
        <w:br/>
        <w:t>Rules you never break:</w:t>
        <w:br/>
        <w:t xml:space="preserve">  - Never add facts not provided in the input</w:t>
        <w:br/>
        <w:t xml:space="preserve">  - Never ignore a fact that was provided</w:t>
        <w:br/>
        <w:t xml:space="preserve">  - Never include meta-commentary before the output</w:t>
        <w:br/>
        <w:t xml:space="preserve">  - Always start your response directly with Subject:</w:t>
      </w:r>
    </w:p>
    <w:p/>
    <w:p>
      <w:pPr>
        <w:pStyle w:val="Heading1"/>
        <w:jc w:val="left"/>
      </w:pPr>
      <w:r>
        <w:t>3. Custom Evaluation Metrics</w:t>
      </w:r>
    </w:p>
    <w:p>
      <w:pPr>
        <w:spacing w:after="120" w:before="0"/>
      </w:pPr>
      <w:r>
        <w:t>All metrics are scored 0.0–1.0. Evaluation uses Gemini 3.1 Flash Lite as a single consistent judge (temperature=0) for all scenarios and both strategies.</w:t>
      </w:r>
    </w:p>
    <w:p>
      <w:pPr>
        <w:pStyle w:val="Heading2"/>
        <w:jc w:val="left"/>
      </w:pPr>
      <w:r>
        <w:t>Metric 1 — Fact Recall Score</w:t>
      </w:r>
    </w:p>
    <w:p>
      <w:pPr>
        <w:spacing w:after="120" w:before="0"/>
      </w:pPr>
      <w:r>
        <w:t>Definition: Fraction of input facts present (verbatim or paraphrased) in the generated email.</w:t>
      </w:r>
    </w:p>
    <w:p>
      <w:pPr>
        <w:pStyle w:val="ListBullet"/>
        <w:spacing w:after="60"/>
      </w:pPr>
      <w:r>
        <w:t>LLM-as-a-Judge checks each fact individually with semantic matching</w:t>
      </w:r>
    </w:p>
    <w:p>
      <w:pPr>
        <w:pStyle w:val="ListBullet"/>
        <w:spacing w:after="60"/>
      </w:pPr>
      <w:r>
        <w:t>Score = facts_present / total_facts (0.0 → 1.0)</w:t>
      </w:r>
    </w:p>
    <w:p>
      <w:pPr>
        <w:pStyle w:val="ListBullet"/>
        <w:spacing w:after="60"/>
      </w:pPr>
      <w:r>
        <w:t>Judge returns structured JSON: per-fact verdict + overall score + justification</w:t>
      </w:r>
    </w:p>
    <w:p>
      <w:pPr>
        <w:spacing w:after="120" w:before="0"/>
      </w:pPr>
      <w:r>
        <w:t>Why it matters: A beautiful email that omits a key deadline or discount offer is a business failure. This metric directly measures fact coverage.</w:t>
      </w:r>
    </w:p>
    <w:p>
      <w:pPr>
        <w:pStyle w:val="Heading2"/>
        <w:jc w:val="left"/>
      </w:pPr>
      <w:r>
        <w:t>Metric 2 — Tone Alignment Score</w:t>
      </w:r>
    </w:p>
    <w:p>
      <w:pPr>
        <w:spacing w:after="120" w:before="0"/>
      </w:pPr>
      <w:r>
        <w:t>Definition: How consistently the generated email sustains the requested tone.</w:t>
      </w:r>
    </w:p>
    <w:p>
      <w:pPr>
        <w:pStyle w:val="ListBullet"/>
        <w:spacing w:after="60"/>
      </w:pPr>
      <w:r>
        <w:t>LLM-as-a-Judge with a fixed 5-point rubric (1.0 / 0.75 / 0.5 / 0.25 / 0.0)</w:t>
      </w:r>
    </w:p>
    <w:p>
      <w:pPr>
        <w:pStyle w:val="ListBullet"/>
        <w:spacing w:after="60"/>
      </w:pPr>
      <w:r>
        <w:t>1.0 = perfect throughout; 0.75 = mostly correct with minor slip; 0.5 = partially correct</w:t>
      </w:r>
    </w:p>
    <w:p>
      <w:pPr>
        <w:pStyle w:val="ListBullet"/>
        <w:spacing w:after="60"/>
      </w:pPr>
      <w:r>
        <w:t>Judge must provide a one-sentence justification — prevents arbitrary scoring</w:t>
      </w:r>
    </w:p>
    <w:p>
      <w:pPr>
        <w:spacing w:after="120" w:before="0"/>
      </w:pPr>
      <w:r>
        <w:t>Why it matters: Tone mismatch is the most visible quality failure. A 'casual' email that reads like a legal document, or an 'urgent' email opening with 'I hope this message finds you well,' undermines the entire purpose.</w:t>
      </w:r>
    </w:p>
    <w:p>
      <w:pPr>
        <w:pStyle w:val="Heading2"/>
        <w:jc w:val="left"/>
      </w:pPr>
      <w:r>
        <w:t>Metric 3 — Fluency Score (Hybrid)</w:t>
      </w:r>
    </w:p>
    <w:p>
      <w:pPr>
        <w:spacing w:after="120" w:before="0"/>
      </w:pPr>
      <w:r>
        <w:t>Definition: Combined professionalism/fluency rating from LLM judgment + structural similarity to the human reference.</w:t>
      </w:r>
    </w:p>
    <w:p>
      <w:pPr>
        <w:pStyle w:val="ListBullet"/>
        <w:spacing w:after="60"/>
      </w:pPr>
      <w:r>
        <w:t>Component A (LLM): Judge rates grammar, professionalism, and writing quality (0.0–1.0)</w:t>
      </w:r>
    </w:p>
    <w:p>
      <w:pPr>
        <w:pStyle w:val="ListBullet"/>
        <w:spacing w:after="60"/>
      </w:pPr>
      <w:r>
        <w:t>Component B (ROUGE-L): Automated longest-common-subsequence overlap against the reference email</w:t>
      </w:r>
    </w:p>
    <w:p>
      <w:pPr>
        <w:pStyle w:val="ListBullet"/>
        <w:spacing w:after="60"/>
      </w:pPr>
      <w:r>
        <w:t>Final score = (llm_score + rouge_l_score) / 2</w:t>
      </w:r>
    </w:p>
    <w:p>
      <w:pPr>
        <w:spacing w:after="120" w:before="0"/>
      </w:pPr>
      <w:r>
        <w:t>Why it matters: The LLM judge alone can be lenient. ROUGE-L anchors the score to a human-written reference. The hybrid approach is methodologically richer — one automated metric and one learned judgment, averaged together.</w:t>
      </w:r>
    </w:p>
    <w:p/>
    <w:p>
      <w:pPr>
        <w:pStyle w:val="Heading1"/>
        <w:jc w:val="left"/>
      </w:pPr>
      <w:r>
        <w:t>4. Evaluation Results</w:t>
      </w:r>
    </w:p>
    <w:p>
      <w:pPr>
        <w:spacing w:after="120" w:before="0"/>
      </w:pPr>
      <w:r>
        <w:t>10 scenarios × 2 strategies = 20 total evaluations. Model: Gemini 3.1 Flash Lite. Judge: Gemini 3.1 Flash Lite (temperature=0).</w:t>
      </w:r>
    </w:p>
    <w:p>
      <w:pPr>
        <w:pStyle w:val="Heading2"/>
        <w:jc w:val="left"/>
      </w:pPr>
      <w:r>
        <w:t>Per-Scenario Scores</w:t>
      </w:r>
    </w:p>
    <w:tbl>
      <w:tblPr>
        <w:tblStyle w:val="TableGrid"/>
        <w:tblW w:type="auto" w:w="0"/>
        <w:jc w:val="center"/>
        <w:tblLook w:firstColumn="1" w:firstRow="1" w:lastColumn="0" w:lastRow="0" w:noHBand="0" w:noVBand="1" w:val="04A0"/>
      </w:tblPr>
      <w:tblGrid>
        <w:gridCol w:w="1105"/>
        <w:gridCol w:w="1105"/>
        <w:gridCol w:w="1105"/>
        <w:gridCol w:w="1105"/>
        <w:gridCol w:w="1105"/>
        <w:gridCol w:w="1105"/>
        <w:gridCol w:w="1105"/>
        <w:gridCol w:w="1105"/>
      </w:tblGrid>
      <w:tr>
        <w:tc>
          <w:tcPr>
            <w:tcW w:type="dxa" w:w="576"/>
            <w:shd w:val="clear" w:color="auto" w:fill="1F3864"/>
          </w:tcPr>
          <w:p>
            <w:pPr>
              <w:jc w:val="center"/>
            </w:pPr>
            <w:r/>
            <w:r>
              <w:rPr>
                <w:b/>
                <w:color w:val="FFFFFF"/>
                <w:sz w:val="18"/>
              </w:rPr>
              <w:t>#</w:t>
            </w:r>
          </w:p>
        </w:tc>
        <w:tc>
          <w:tcPr>
            <w:tcW w:type="dxa" w:w="2880"/>
            <w:shd w:val="clear" w:color="auto" w:fill="1F3864"/>
          </w:tcPr>
          <w:p>
            <w:pPr>
              <w:jc w:val="center"/>
            </w:pPr>
            <w:r/>
            <w:r>
              <w:rPr>
                <w:b/>
                <w:color w:val="FFFFFF"/>
                <w:sz w:val="18"/>
              </w:rPr>
              <w:t>Scenario</w:t>
            </w:r>
          </w:p>
        </w:tc>
        <w:tc>
          <w:tcPr>
            <w:tcW w:type="dxa" w:w="1584"/>
            <w:shd w:val="clear" w:color="auto" w:fill="1F3864"/>
          </w:tcPr>
          <w:p>
            <w:pPr>
              <w:jc w:val="center"/>
            </w:pPr>
            <w:r/>
            <w:r>
              <w:rPr>
                <w:b/>
                <w:color w:val="FFFFFF"/>
                <w:sz w:val="18"/>
              </w:rPr>
              <w:t>Adv FR</w:t>
            </w:r>
          </w:p>
        </w:tc>
        <w:tc>
          <w:tcPr>
            <w:tcW w:type="dxa" w:w="1584"/>
            <w:shd w:val="clear" w:color="auto" w:fill="1F3864"/>
          </w:tcPr>
          <w:p>
            <w:pPr>
              <w:jc w:val="center"/>
            </w:pPr>
            <w:r/>
            <w:r>
              <w:rPr>
                <w:b/>
                <w:color w:val="FFFFFF"/>
                <w:sz w:val="18"/>
              </w:rPr>
              <w:t>Adv TA</w:t>
            </w:r>
          </w:p>
        </w:tc>
        <w:tc>
          <w:tcPr>
            <w:tcW w:type="dxa" w:w="1584"/>
            <w:shd w:val="clear" w:color="auto" w:fill="1F3864"/>
          </w:tcPr>
          <w:p>
            <w:pPr>
              <w:jc w:val="center"/>
            </w:pPr>
            <w:r/>
            <w:r>
              <w:rPr>
                <w:b/>
                <w:color w:val="FFFFFF"/>
                <w:sz w:val="18"/>
              </w:rPr>
              <w:t>Adv FL</w:t>
            </w:r>
          </w:p>
        </w:tc>
        <w:tc>
          <w:tcPr>
            <w:tcW w:type="dxa" w:w="1584"/>
            <w:shd w:val="clear" w:color="auto" w:fill="1F3864"/>
          </w:tcPr>
          <w:p>
            <w:pPr>
              <w:jc w:val="center"/>
            </w:pPr>
            <w:r/>
            <w:r>
              <w:rPr>
                <w:b/>
                <w:color w:val="FFFFFF"/>
                <w:sz w:val="18"/>
              </w:rPr>
              <w:t>Bas FR</w:t>
            </w:r>
          </w:p>
        </w:tc>
        <w:tc>
          <w:tcPr>
            <w:tcW w:type="dxa" w:w="1584"/>
            <w:shd w:val="clear" w:color="auto" w:fill="1F3864"/>
          </w:tcPr>
          <w:p>
            <w:pPr>
              <w:jc w:val="center"/>
            </w:pPr>
            <w:r/>
            <w:r>
              <w:rPr>
                <w:b/>
                <w:color w:val="FFFFFF"/>
                <w:sz w:val="18"/>
              </w:rPr>
              <w:t>Bas TA</w:t>
            </w:r>
          </w:p>
        </w:tc>
        <w:tc>
          <w:tcPr>
            <w:tcW w:type="dxa" w:w="1584"/>
            <w:shd w:val="clear" w:color="auto" w:fill="1F3864"/>
          </w:tcPr>
          <w:p>
            <w:pPr>
              <w:jc w:val="center"/>
            </w:pPr>
            <w:r/>
            <w:r>
              <w:rPr>
                <w:b/>
                <w:color w:val="FFFFFF"/>
                <w:sz w:val="18"/>
              </w:rPr>
              <w:t>Bas FL</w:t>
            </w:r>
          </w:p>
        </w:tc>
      </w:tr>
      <w:tr>
        <w:tc>
          <w:tcPr>
            <w:tcW w:type="dxa" w:w="1105"/>
            <w:shd w:val="clear" w:color="auto" w:fill="FFFFFF"/>
          </w:tcPr>
          <w:p>
            <w:pPr>
              <w:jc w:val="center"/>
            </w:pPr>
            <w:r/>
            <w:r>
              <w:rPr>
                <w:sz w:val="18"/>
              </w:rPr>
              <w:t>1</w:t>
            </w:r>
          </w:p>
        </w:tc>
        <w:tc>
          <w:tcPr>
            <w:tcW w:type="dxa" w:w="1105"/>
            <w:shd w:val="clear" w:color="auto" w:fill="FFFFFF"/>
          </w:tcPr>
          <w:p>
            <w:pPr>
              <w:jc w:val="left"/>
            </w:pPr>
            <w:r/>
            <w:r>
              <w:rPr>
                <w:sz w:val="18"/>
              </w:rPr>
              <w:t>Follow up on job application</w:t>
            </w:r>
          </w:p>
        </w:tc>
        <w:tc>
          <w:tcPr>
            <w:tcW w:type="dxa" w:w="1105"/>
            <w:shd w:val="clear" w:color="auto" w:fill="FFFFFF"/>
          </w:tcPr>
          <w:p>
            <w:pPr>
              <w:jc w:val="center"/>
            </w:pPr>
            <w:r/>
            <w:r>
              <w:rPr>
                <w:sz w:val="18"/>
              </w:rPr>
              <w:t>1.0</w:t>
            </w:r>
          </w:p>
        </w:tc>
        <w:tc>
          <w:tcPr>
            <w:tcW w:type="dxa" w:w="1105"/>
            <w:shd w:val="clear" w:color="auto" w:fill="FFFFFF"/>
          </w:tcPr>
          <w:p>
            <w:pPr>
              <w:jc w:val="center"/>
            </w:pPr>
            <w:r/>
            <w:r>
              <w:rPr>
                <w:sz w:val="18"/>
              </w:rPr>
              <w:t>1.0</w:t>
            </w:r>
          </w:p>
        </w:tc>
        <w:tc>
          <w:tcPr>
            <w:tcW w:type="dxa" w:w="1105"/>
            <w:shd w:val="clear" w:color="auto" w:fill="FFFFFF"/>
          </w:tcPr>
          <w:p>
            <w:pPr>
              <w:jc w:val="center"/>
            </w:pPr>
            <w:r/>
            <w:r>
              <w:rPr>
                <w:sz w:val="18"/>
              </w:rPr>
              <w:t>0.808</w:t>
            </w:r>
          </w:p>
        </w:tc>
        <w:tc>
          <w:tcPr>
            <w:tcW w:type="dxa" w:w="1105"/>
            <w:shd w:val="clear" w:color="auto" w:fill="FFFFFF"/>
          </w:tcPr>
          <w:p>
            <w:pPr>
              <w:jc w:val="center"/>
            </w:pPr>
            <w:r/>
            <w:r>
              <w:rPr>
                <w:sz w:val="18"/>
              </w:rPr>
              <w:t>1.0</w:t>
            </w:r>
          </w:p>
        </w:tc>
        <w:tc>
          <w:tcPr>
            <w:tcW w:type="dxa" w:w="1105"/>
            <w:shd w:val="clear" w:color="auto" w:fill="FFFFFF"/>
          </w:tcPr>
          <w:p>
            <w:pPr>
              <w:jc w:val="center"/>
            </w:pPr>
            <w:r/>
            <w:r>
              <w:rPr>
                <w:sz w:val="18"/>
              </w:rPr>
              <w:t>1.0</w:t>
            </w:r>
          </w:p>
        </w:tc>
        <w:tc>
          <w:tcPr>
            <w:tcW w:type="dxa" w:w="1105"/>
            <w:shd w:val="clear" w:color="auto" w:fill="FFFFFF"/>
          </w:tcPr>
          <w:p>
            <w:pPr>
              <w:jc w:val="center"/>
            </w:pPr>
            <w:r/>
            <w:r>
              <w:rPr>
                <w:b/>
                <w:color w:val="C00000"/>
                <w:sz w:val="18"/>
              </w:rPr>
              <w:t>0.758</w:t>
            </w:r>
          </w:p>
        </w:tc>
      </w:tr>
      <w:tr>
        <w:tc>
          <w:tcPr>
            <w:tcW w:type="dxa" w:w="1105"/>
            <w:shd w:val="clear" w:color="auto" w:fill="EEF2FF"/>
          </w:tcPr>
          <w:p>
            <w:pPr>
              <w:jc w:val="center"/>
            </w:pPr>
            <w:r/>
            <w:r>
              <w:rPr>
                <w:sz w:val="18"/>
              </w:rPr>
              <w:t>2</w:t>
            </w:r>
          </w:p>
        </w:tc>
        <w:tc>
          <w:tcPr>
            <w:tcW w:type="dxa" w:w="1105"/>
            <w:shd w:val="clear" w:color="auto" w:fill="EEF2FF"/>
          </w:tcPr>
          <w:p>
            <w:pPr>
              <w:jc w:val="left"/>
            </w:pPr>
            <w:r/>
            <w:r>
              <w:rPr>
                <w:sz w:val="18"/>
              </w:rPr>
              <w:t>Project delivery delay notice</w:t>
            </w:r>
          </w:p>
        </w:tc>
        <w:tc>
          <w:tcPr>
            <w:tcW w:type="dxa" w:w="1105"/>
            <w:shd w:val="clear" w:color="auto" w:fill="EEF2FF"/>
          </w:tcPr>
          <w:p>
            <w:pPr>
              <w:jc w:val="center"/>
            </w:pPr>
            <w:r/>
            <w:r>
              <w:rPr>
                <w:sz w:val="18"/>
              </w:rPr>
              <w:t>1.0</w:t>
            </w:r>
          </w:p>
        </w:tc>
        <w:tc>
          <w:tcPr>
            <w:tcW w:type="dxa" w:w="1105"/>
            <w:shd w:val="clear" w:color="auto" w:fill="EEF2FF"/>
          </w:tcPr>
          <w:p>
            <w:pPr>
              <w:jc w:val="center"/>
            </w:pPr>
            <w:r/>
            <w:r>
              <w:rPr>
                <w:sz w:val="18"/>
              </w:rPr>
              <w:t>1.0</w:t>
            </w:r>
          </w:p>
        </w:tc>
        <w:tc>
          <w:tcPr>
            <w:tcW w:type="dxa" w:w="1105"/>
            <w:shd w:val="clear" w:color="auto" w:fill="EEF2FF"/>
          </w:tcPr>
          <w:p>
            <w:pPr>
              <w:jc w:val="center"/>
            </w:pPr>
            <w:r/>
            <w:r>
              <w:rPr>
                <w:sz w:val="18"/>
              </w:rPr>
              <w:t>0.649</w:t>
            </w:r>
          </w:p>
        </w:tc>
        <w:tc>
          <w:tcPr>
            <w:tcW w:type="dxa" w:w="1105"/>
            <w:shd w:val="clear" w:color="auto" w:fill="EEF2FF"/>
          </w:tcPr>
          <w:p>
            <w:pPr>
              <w:jc w:val="center"/>
            </w:pPr>
            <w:r/>
            <w:r>
              <w:rPr>
                <w:sz w:val="18"/>
              </w:rPr>
              <w:t>1.0</w:t>
            </w:r>
          </w:p>
        </w:tc>
        <w:tc>
          <w:tcPr>
            <w:tcW w:type="dxa" w:w="1105"/>
            <w:shd w:val="clear" w:color="auto" w:fill="EEF2FF"/>
          </w:tcPr>
          <w:p>
            <w:pPr>
              <w:jc w:val="center"/>
            </w:pPr>
            <w:r/>
            <w:r>
              <w:rPr>
                <w:sz w:val="18"/>
              </w:rPr>
              <w:t>1.0</w:t>
            </w:r>
          </w:p>
        </w:tc>
        <w:tc>
          <w:tcPr>
            <w:tcW w:type="dxa" w:w="1105"/>
            <w:shd w:val="clear" w:color="auto" w:fill="EEF2FF"/>
          </w:tcPr>
          <w:p>
            <w:pPr>
              <w:jc w:val="center"/>
            </w:pPr>
            <w:r/>
            <w:r>
              <w:rPr>
                <w:b/>
                <w:color w:val="C00000"/>
                <w:sz w:val="18"/>
              </w:rPr>
              <w:t>0.704</w:t>
            </w:r>
          </w:p>
        </w:tc>
      </w:tr>
      <w:tr>
        <w:tc>
          <w:tcPr>
            <w:tcW w:type="dxa" w:w="1105"/>
            <w:shd w:val="clear" w:color="auto" w:fill="FFFFFF"/>
          </w:tcPr>
          <w:p>
            <w:pPr>
              <w:jc w:val="center"/>
            </w:pPr>
            <w:r/>
            <w:r>
              <w:rPr>
                <w:sz w:val="18"/>
              </w:rPr>
              <w:t>3</w:t>
            </w:r>
          </w:p>
        </w:tc>
        <w:tc>
          <w:tcPr>
            <w:tcW w:type="dxa" w:w="1105"/>
            <w:shd w:val="clear" w:color="auto" w:fill="FFFFFF"/>
          </w:tcPr>
          <w:p>
            <w:pPr>
              <w:jc w:val="left"/>
            </w:pPr>
            <w:r/>
            <w:r>
              <w:rPr>
                <w:sz w:val="18"/>
              </w:rPr>
              <w:t>B2B SaaS outreach (casual)</w:t>
            </w:r>
          </w:p>
        </w:tc>
        <w:tc>
          <w:tcPr>
            <w:tcW w:type="dxa" w:w="1105"/>
            <w:shd w:val="clear" w:color="auto" w:fill="FFFFFF"/>
          </w:tcPr>
          <w:p>
            <w:pPr>
              <w:jc w:val="center"/>
            </w:pPr>
            <w:r/>
            <w:r>
              <w:rPr>
                <w:sz w:val="18"/>
              </w:rPr>
              <w:t>1.0</w:t>
            </w:r>
          </w:p>
        </w:tc>
        <w:tc>
          <w:tcPr>
            <w:tcW w:type="dxa" w:w="1105"/>
            <w:shd w:val="clear" w:color="auto" w:fill="FFFFFF"/>
          </w:tcPr>
          <w:p>
            <w:pPr>
              <w:jc w:val="center"/>
            </w:pPr>
            <w:r/>
            <w:r>
              <w:rPr>
                <w:sz w:val="18"/>
              </w:rPr>
              <w:t>1.0</w:t>
            </w:r>
          </w:p>
        </w:tc>
        <w:tc>
          <w:tcPr>
            <w:tcW w:type="dxa" w:w="1105"/>
            <w:shd w:val="clear" w:color="auto" w:fill="FFFFFF"/>
          </w:tcPr>
          <w:p>
            <w:pPr>
              <w:jc w:val="center"/>
            </w:pPr>
            <w:r/>
            <w:r>
              <w:rPr>
                <w:sz w:val="18"/>
              </w:rPr>
              <w:t>0.688</w:t>
            </w:r>
          </w:p>
        </w:tc>
        <w:tc>
          <w:tcPr>
            <w:tcW w:type="dxa" w:w="1105"/>
            <w:shd w:val="clear" w:color="auto" w:fill="FFFFFF"/>
          </w:tcPr>
          <w:p>
            <w:pPr>
              <w:jc w:val="center"/>
            </w:pPr>
            <w:r/>
            <w:r>
              <w:rPr>
                <w:b/>
                <w:color w:val="C00000"/>
                <w:sz w:val="18"/>
              </w:rPr>
              <w:t>0.75</w:t>
            </w:r>
          </w:p>
        </w:tc>
        <w:tc>
          <w:tcPr>
            <w:tcW w:type="dxa" w:w="1105"/>
            <w:shd w:val="clear" w:color="auto" w:fill="FFFFFF"/>
          </w:tcPr>
          <w:p>
            <w:pPr>
              <w:jc w:val="center"/>
            </w:pPr>
            <w:r/>
            <w:r>
              <w:rPr>
                <w:b/>
                <w:color w:val="C00000"/>
                <w:sz w:val="18"/>
              </w:rPr>
              <w:t>0.5</w:t>
            </w:r>
          </w:p>
        </w:tc>
        <w:tc>
          <w:tcPr>
            <w:tcW w:type="dxa" w:w="1105"/>
            <w:shd w:val="clear" w:color="auto" w:fill="FFFFFF"/>
          </w:tcPr>
          <w:p>
            <w:pPr>
              <w:jc w:val="center"/>
            </w:pPr>
            <w:r/>
            <w:r>
              <w:rPr>
                <w:b/>
                <w:color w:val="C00000"/>
                <w:sz w:val="18"/>
              </w:rPr>
              <w:t>0.636</w:t>
            </w:r>
          </w:p>
        </w:tc>
      </w:tr>
      <w:tr>
        <w:tc>
          <w:tcPr>
            <w:tcW w:type="dxa" w:w="1105"/>
            <w:shd w:val="clear" w:color="auto" w:fill="EEF2FF"/>
          </w:tcPr>
          <w:p>
            <w:pPr>
              <w:jc w:val="center"/>
            </w:pPr>
            <w:r/>
            <w:r>
              <w:rPr>
                <w:sz w:val="18"/>
              </w:rPr>
              <w:t>4</w:t>
            </w:r>
          </w:p>
        </w:tc>
        <w:tc>
          <w:tcPr>
            <w:tcW w:type="dxa" w:w="1105"/>
            <w:shd w:val="clear" w:color="auto" w:fill="EEF2FF"/>
          </w:tcPr>
          <w:p>
            <w:pPr>
              <w:jc w:val="left"/>
            </w:pPr>
            <w:r/>
            <w:r>
              <w:rPr>
                <w:sz w:val="18"/>
              </w:rPr>
              <w:t>Meeting request with CTO</w:t>
            </w:r>
          </w:p>
        </w:tc>
        <w:tc>
          <w:tcPr>
            <w:tcW w:type="dxa" w:w="1105"/>
            <w:shd w:val="clear" w:color="auto" w:fill="EEF2FF"/>
          </w:tcPr>
          <w:p>
            <w:pPr>
              <w:jc w:val="center"/>
            </w:pPr>
            <w:r/>
            <w:r>
              <w:rPr>
                <w:sz w:val="18"/>
              </w:rPr>
              <w:t>1.0</w:t>
            </w:r>
          </w:p>
        </w:tc>
        <w:tc>
          <w:tcPr>
            <w:tcW w:type="dxa" w:w="1105"/>
            <w:shd w:val="clear" w:color="auto" w:fill="EEF2FF"/>
          </w:tcPr>
          <w:p>
            <w:pPr>
              <w:jc w:val="center"/>
            </w:pPr>
            <w:r/>
            <w:r>
              <w:rPr>
                <w:sz w:val="18"/>
              </w:rPr>
              <w:t>1.0</w:t>
            </w:r>
          </w:p>
        </w:tc>
        <w:tc>
          <w:tcPr>
            <w:tcW w:type="dxa" w:w="1105"/>
            <w:shd w:val="clear" w:color="auto" w:fill="EEF2FF"/>
          </w:tcPr>
          <w:p>
            <w:pPr>
              <w:jc w:val="center"/>
            </w:pPr>
            <w:r/>
            <w:r>
              <w:rPr>
                <w:sz w:val="18"/>
              </w:rPr>
              <w:t>0.685</w:t>
            </w:r>
          </w:p>
        </w:tc>
        <w:tc>
          <w:tcPr>
            <w:tcW w:type="dxa" w:w="1105"/>
            <w:shd w:val="clear" w:color="auto" w:fill="EEF2FF"/>
          </w:tcPr>
          <w:p>
            <w:pPr>
              <w:jc w:val="center"/>
            </w:pPr>
            <w:r/>
            <w:r>
              <w:rPr>
                <w:sz w:val="18"/>
              </w:rPr>
              <w:t>1.0</w:t>
            </w:r>
          </w:p>
        </w:tc>
        <w:tc>
          <w:tcPr>
            <w:tcW w:type="dxa" w:w="1105"/>
            <w:shd w:val="clear" w:color="auto" w:fill="EEF2FF"/>
          </w:tcPr>
          <w:p>
            <w:pPr>
              <w:jc w:val="center"/>
            </w:pPr>
            <w:r/>
            <w:r>
              <w:rPr>
                <w:sz w:val="18"/>
              </w:rPr>
              <w:t>1.0</w:t>
            </w:r>
          </w:p>
        </w:tc>
        <w:tc>
          <w:tcPr>
            <w:tcW w:type="dxa" w:w="1105"/>
            <w:shd w:val="clear" w:color="auto" w:fill="EEF2FF"/>
          </w:tcPr>
          <w:p>
            <w:pPr>
              <w:jc w:val="center"/>
            </w:pPr>
            <w:r/>
            <w:r>
              <w:rPr>
                <w:b/>
                <w:color w:val="C00000"/>
                <w:sz w:val="18"/>
              </w:rPr>
              <w:t>0.713</w:t>
            </w:r>
          </w:p>
        </w:tc>
      </w:tr>
      <w:tr>
        <w:tc>
          <w:tcPr>
            <w:tcW w:type="dxa" w:w="1105"/>
            <w:shd w:val="clear" w:color="auto" w:fill="FFFFFF"/>
          </w:tcPr>
          <w:p>
            <w:pPr>
              <w:jc w:val="center"/>
            </w:pPr>
            <w:r/>
            <w:r>
              <w:rPr>
                <w:sz w:val="18"/>
              </w:rPr>
              <w:t>5</w:t>
            </w:r>
          </w:p>
        </w:tc>
        <w:tc>
          <w:tcPr>
            <w:tcW w:type="dxa" w:w="1105"/>
            <w:shd w:val="clear" w:color="auto" w:fill="FFFFFF"/>
          </w:tcPr>
          <w:p>
            <w:pPr>
              <w:jc w:val="left"/>
            </w:pPr>
            <w:r/>
            <w:r>
              <w:rPr>
                <w:sz w:val="18"/>
              </w:rPr>
              <w:t>Overdue invoice reminder</w:t>
            </w:r>
          </w:p>
        </w:tc>
        <w:tc>
          <w:tcPr>
            <w:tcW w:type="dxa" w:w="1105"/>
            <w:shd w:val="clear" w:color="auto" w:fill="FFFFFF"/>
          </w:tcPr>
          <w:p>
            <w:pPr>
              <w:jc w:val="center"/>
            </w:pPr>
            <w:r/>
            <w:r>
              <w:rPr>
                <w:sz w:val="18"/>
              </w:rPr>
              <w:t>1.0</w:t>
            </w:r>
          </w:p>
        </w:tc>
        <w:tc>
          <w:tcPr>
            <w:tcW w:type="dxa" w:w="1105"/>
            <w:shd w:val="clear" w:color="auto" w:fill="FFFFFF"/>
          </w:tcPr>
          <w:p>
            <w:pPr>
              <w:jc w:val="center"/>
            </w:pPr>
            <w:r/>
            <w:r>
              <w:rPr>
                <w:sz w:val="18"/>
              </w:rPr>
              <w:t>1.0</w:t>
            </w:r>
          </w:p>
        </w:tc>
        <w:tc>
          <w:tcPr>
            <w:tcW w:type="dxa" w:w="1105"/>
            <w:shd w:val="clear" w:color="auto" w:fill="FFFFFF"/>
          </w:tcPr>
          <w:p>
            <w:pPr>
              <w:jc w:val="center"/>
            </w:pPr>
            <w:r/>
            <w:r>
              <w:rPr>
                <w:sz w:val="18"/>
              </w:rPr>
              <w:t>0.734</w:t>
            </w:r>
          </w:p>
        </w:tc>
        <w:tc>
          <w:tcPr>
            <w:tcW w:type="dxa" w:w="1105"/>
            <w:shd w:val="clear" w:color="auto" w:fill="FFFFFF"/>
          </w:tcPr>
          <w:p>
            <w:pPr>
              <w:jc w:val="center"/>
            </w:pPr>
            <w:r/>
            <w:r>
              <w:rPr>
                <w:sz w:val="18"/>
              </w:rPr>
              <w:t>1.0</w:t>
            </w:r>
          </w:p>
        </w:tc>
        <w:tc>
          <w:tcPr>
            <w:tcW w:type="dxa" w:w="1105"/>
            <w:shd w:val="clear" w:color="auto" w:fill="FFFFFF"/>
          </w:tcPr>
          <w:p>
            <w:pPr>
              <w:jc w:val="center"/>
            </w:pPr>
            <w:r/>
            <w:r>
              <w:rPr>
                <w:sz w:val="18"/>
              </w:rPr>
              <w:t>1.0</w:t>
            </w:r>
          </w:p>
        </w:tc>
        <w:tc>
          <w:tcPr>
            <w:tcW w:type="dxa" w:w="1105"/>
            <w:shd w:val="clear" w:color="auto" w:fill="FFFFFF"/>
          </w:tcPr>
          <w:p>
            <w:pPr>
              <w:jc w:val="center"/>
            </w:pPr>
            <w:r/>
            <w:r>
              <w:rPr>
                <w:b/>
                <w:color w:val="C00000"/>
                <w:sz w:val="18"/>
              </w:rPr>
              <w:t>0.721</w:t>
            </w:r>
          </w:p>
        </w:tc>
      </w:tr>
      <w:tr>
        <w:tc>
          <w:tcPr>
            <w:tcW w:type="dxa" w:w="1105"/>
            <w:shd w:val="clear" w:color="auto" w:fill="EEF2FF"/>
          </w:tcPr>
          <w:p>
            <w:pPr>
              <w:jc w:val="center"/>
            </w:pPr>
            <w:r/>
            <w:r>
              <w:rPr>
                <w:sz w:val="18"/>
              </w:rPr>
              <w:t>6</w:t>
            </w:r>
          </w:p>
        </w:tc>
        <w:tc>
          <w:tcPr>
            <w:tcW w:type="dxa" w:w="1105"/>
            <w:shd w:val="clear" w:color="auto" w:fill="EEF2FF"/>
          </w:tcPr>
          <w:p>
            <w:pPr>
              <w:jc w:val="left"/>
            </w:pPr>
            <w:r/>
            <w:r>
              <w:rPr>
                <w:sz w:val="18"/>
              </w:rPr>
              <w:t>Constructive feedback to junior</w:t>
            </w:r>
          </w:p>
        </w:tc>
        <w:tc>
          <w:tcPr>
            <w:tcW w:type="dxa" w:w="1105"/>
            <w:shd w:val="clear" w:color="auto" w:fill="EEF2FF"/>
          </w:tcPr>
          <w:p>
            <w:pPr>
              <w:jc w:val="center"/>
            </w:pPr>
            <w:r/>
            <w:r>
              <w:rPr>
                <w:sz w:val="18"/>
              </w:rPr>
              <w:t>1.0</w:t>
            </w:r>
          </w:p>
        </w:tc>
        <w:tc>
          <w:tcPr>
            <w:tcW w:type="dxa" w:w="1105"/>
            <w:shd w:val="clear" w:color="auto" w:fill="EEF2FF"/>
          </w:tcPr>
          <w:p>
            <w:pPr>
              <w:jc w:val="center"/>
            </w:pPr>
            <w:r/>
            <w:r>
              <w:rPr>
                <w:sz w:val="18"/>
              </w:rPr>
              <w:t>1.0</w:t>
            </w:r>
          </w:p>
        </w:tc>
        <w:tc>
          <w:tcPr>
            <w:tcW w:type="dxa" w:w="1105"/>
            <w:shd w:val="clear" w:color="auto" w:fill="EEF2FF"/>
          </w:tcPr>
          <w:p>
            <w:pPr>
              <w:jc w:val="center"/>
            </w:pPr>
            <w:r/>
            <w:r>
              <w:rPr>
                <w:sz w:val="18"/>
              </w:rPr>
              <w:t>0.621</w:t>
            </w:r>
          </w:p>
        </w:tc>
        <w:tc>
          <w:tcPr>
            <w:tcW w:type="dxa" w:w="1105"/>
            <w:shd w:val="clear" w:color="auto" w:fill="EEF2FF"/>
          </w:tcPr>
          <w:p>
            <w:pPr>
              <w:jc w:val="center"/>
            </w:pPr>
            <w:r/>
            <w:r>
              <w:rPr>
                <w:sz w:val="18"/>
              </w:rPr>
              <w:t>1.0</w:t>
            </w:r>
          </w:p>
        </w:tc>
        <w:tc>
          <w:tcPr>
            <w:tcW w:type="dxa" w:w="1105"/>
            <w:shd w:val="clear" w:color="auto" w:fill="EEF2FF"/>
          </w:tcPr>
          <w:p>
            <w:pPr>
              <w:jc w:val="center"/>
            </w:pPr>
            <w:r/>
            <w:r>
              <w:rPr>
                <w:sz w:val="18"/>
              </w:rPr>
              <w:t>1.0</w:t>
            </w:r>
          </w:p>
        </w:tc>
        <w:tc>
          <w:tcPr>
            <w:tcW w:type="dxa" w:w="1105"/>
            <w:shd w:val="clear" w:color="auto" w:fill="EEF2FF"/>
          </w:tcPr>
          <w:p>
            <w:pPr>
              <w:jc w:val="center"/>
            </w:pPr>
            <w:r/>
            <w:r>
              <w:rPr>
                <w:b/>
                <w:color w:val="C00000"/>
                <w:sz w:val="18"/>
              </w:rPr>
              <w:t>0.637</w:t>
            </w:r>
          </w:p>
        </w:tc>
      </w:tr>
      <w:tr>
        <w:tc>
          <w:tcPr>
            <w:tcW w:type="dxa" w:w="1105"/>
            <w:shd w:val="clear" w:color="auto" w:fill="FFFFFF"/>
          </w:tcPr>
          <w:p>
            <w:pPr>
              <w:jc w:val="center"/>
            </w:pPr>
            <w:r/>
            <w:r>
              <w:rPr>
                <w:sz w:val="18"/>
              </w:rPr>
              <w:t>7</w:t>
            </w:r>
          </w:p>
        </w:tc>
        <w:tc>
          <w:tcPr>
            <w:tcW w:type="dxa" w:w="1105"/>
            <w:shd w:val="clear" w:color="auto" w:fill="FFFFFF"/>
          </w:tcPr>
          <w:p>
            <w:pPr>
              <w:jc w:val="left"/>
            </w:pPr>
            <w:r/>
            <w:r>
              <w:rPr>
                <w:sz w:val="18"/>
              </w:rPr>
              <w:t>Content partnership proposal</w:t>
            </w:r>
          </w:p>
        </w:tc>
        <w:tc>
          <w:tcPr>
            <w:tcW w:type="dxa" w:w="1105"/>
            <w:shd w:val="clear" w:color="auto" w:fill="FFFFFF"/>
          </w:tcPr>
          <w:p>
            <w:pPr>
              <w:jc w:val="center"/>
            </w:pPr>
            <w:r/>
            <w:r>
              <w:rPr>
                <w:sz w:val="18"/>
              </w:rPr>
              <w:t>1.0</w:t>
            </w:r>
          </w:p>
        </w:tc>
        <w:tc>
          <w:tcPr>
            <w:tcW w:type="dxa" w:w="1105"/>
            <w:shd w:val="clear" w:color="auto" w:fill="FFFFFF"/>
          </w:tcPr>
          <w:p>
            <w:pPr>
              <w:jc w:val="center"/>
            </w:pPr>
            <w:r/>
            <w:r>
              <w:rPr>
                <w:sz w:val="18"/>
              </w:rPr>
              <w:t>1.0</w:t>
            </w:r>
          </w:p>
        </w:tc>
        <w:tc>
          <w:tcPr>
            <w:tcW w:type="dxa" w:w="1105"/>
            <w:shd w:val="clear" w:color="auto" w:fill="FFFFFF"/>
          </w:tcPr>
          <w:p>
            <w:pPr>
              <w:jc w:val="center"/>
            </w:pPr>
            <w:r/>
            <w:r>
              <w:rPr>
                <w:sz w:val="18"/>
              </w:rPr>
              <w:t>0.641</w:t>
            </w:r>
          </w:p>
        </w:tc>
        <w:tc>
          <w:tcPr>
            <w:tcW w:type="dxa" w:w="1105"/>
            <w:shd w:val="clear" w:color="auto" w:fill="FFFFFF"/>
          </w:tcPr>
          <w:p>
            <w:pPr>
              <w:jc w:val="center"/>
            </w:pPr>
            <w:r/>
            <w:r>
              <w:rPr>
                <w:sz w:val="18"/>
              </w:rPr>
              <w:t>1.0</w:t>
            </w:r>
          </w:p>
        </w:tc>
        <w:tc>
          <w:tcPr>
            <w:tcW w:type="dxa" w:w="1105"/>
            <w:shd w:val="clear" w:color="auto" w:fill="FFFFFF"/>
          </w:tcPr>
          <w:p>
            <w:pPr>
              <w:jc w:val="center"/>
            </w:pPr>
            <w:r/>
            <w:r>
              <w:rPr>
                <w:b/>
                <w:color w:val="C00000"/>
                <w:sz w:val="18"/>
              </w:rPr>
              <w:t>0.75</w:t>
            </w:r>
          </w:p>
        </w:tc>
        <w:tc>
          <w:tcPr>
            <w:tcW w:type="dxa" w:w="1105"/>
            <w:shd w:val="clear" w:color="auto" w:fill="FFFFFF"/>
          </w:tcPr>
          <w:p>
            <w:pPr>
              <w:jc w:val="center"/>
            </w:pPr>
            <w:r/>
            <w:r>
              <w:rPr>
                <w:b/>
                <w:color w:val="C00000"/>
                <w:sz w:val="18"/>
              </w:rPr>
              <w:t>0.651</w:t>
            </w:r>
          </w:p>
        </w:tc>
      </w:tr>
      <w:tr>
        <w:tc>
          <w:tcPr>
            <w:tcW w:type="dxa" w:w="1105"/>
            <w:shd w:val="clear" w:color="auto" w:fill="EEF2FF"/>
          </w:tcPr>
          <w:p>
            <w:pPr>
              <w:jc w:val="center"/>
            </w:pPr>
            <w:r/>
            <w:r>
              <w:rPr>
                <w:sz w:val="18"/>
              </w:rPr>
              <w:t>8</w:t>
            </w:r>
          </w:p>
        </w:tc>
        <w:tc>
          <w:tcPr>
            <w:tcW w:type="dxa" w:w="1105"/>
            <w:shd w:val="clear" w:color="auto" w:fill="EEF2FF"/>
          </w:tcPr>
          <w:p>
            <w:pPr>
              <w:jc w:val="left"/>
            </w:pPr>
            <w:r/>
            <w:r>
              <w:rPr>
                <w:sz w:val="18"/>
              </w:rPr>
              <w:t>Critical bug escalation (urgent)</w:t>
            </w:r>
          </w:p>
        </w:tc>
        <w:tc>
          <w:tcPr>
            <w:tcW w:type="dxa" w:w="1105"/>
            <w:shd w:val="clear" w:color="auto" w:fill="EEF2FF"/>
          </w:tcPr>
          <w:p>
            <w:pPr>
              <w:jc w:val="center"/>
            </w:pPr>
            <w:r/>
            <w:r>
              <w:rPr>
                <w:sz w:val="18"/>
              </w:rPr>
              <w:t>1.0</w:t>
            </w:r>
          </w:p>
        </w:tc>
        <w:tc>
          <w:tcPr>
            <w:tcW w:type="dxa" w:w="1105"/>
            <w:shd w:val="clear" w:color="auto" w:fill="EEF2FF"/>
          </w:tcPr>
          <w:p>
            <w:pPr>
              <w:jc w:val="center"/>
            </w:pPr>
            <w:r/>
            <w:r>
              <w:rPr>
                <w:sz w:val="18"/>
              </w:rPr>
              <w:t>1.0</w:t>
            </w:r>
          </w:p>
        </w:tc>
        <w:tc>
          <w:tcPr>
            <w:tcW w:type="dxa" w:w="1105"/>
            <w:shd w:val="clear" w:color="auto" w:fill="EEF2FF"/>
          </w:tcPr>
          <w:p>
            <w:pPr>
              <w:jc w:val="center"/>
            </w:pPr>
            <w:r/>
            <w:r>
              <w:rPr>
                <w:sz w:val="18"/>
              </w:rPr>
              <w:t>0.610</w:t>
            </w:r>
          </w:p>
        </w:tc>
        <w:tc>
          <w:tcPr>
            <w:tcW w:type="dxa" w:w="1105"/>
            <w:shd w:val="clear" w:color="auto" w:fill="EEF2FF"/>
          </w:tcPr>
          <w:p>
            <w:pPr>
              <w:jc w:val="center"/>
            </w:pPr>
            <w:r/>
            <w:r>
              <w:rPr>
                <w:sz w:val="18"/>
              </w:rPr>
              <w:t>1.0</w:t>
            </w:r>
          </w:p>
        </w:tc>
        <w:tc>
          <w:tcPr>
            <w:tcW w:type="dxa" w:w="1105"/>
            <w:shd w:val="clear" w:color="auto" w:fill="EEF2FF"/>
          </w:tcPr>
          <w:p>
            <w:pPr>
              <w:jc w:val="center"/>
            </w:pPr>
            <w:r/>
            <w:r>
              <w:rPr>
                <w:b/>
                <w:color w:val="C00000"/>
                <w:sz w:val="18"/>
              </w:rPr>
              <w:t>0.75</w:t>
            </w:r>
          </w:p>
        </w:tc>
        <w:tc>
          <w:tcPr>
            <w:tcW w:type="dxa" w:w="1105"/>
            <w:shd w:val="clear" w:color="auto" w:fill="EEF2FF"/>
          </w:tcPr>
          <w:p>
            <w:pPr>
              <w:jc w:val="center"/>
            </w:pPr>
            <w:r/>
            <w:r>
              <w:rPr>
                <w:b/>
                <w:color w:val="C00000"/>
                <w:sz w:val="18"/>
              </w:rPr>
              <w:t>0.687</w:t>
            </w:r>
          </w:p>
        </w:tc>
      </w:tr>
      <w:tr>
        <w:tc>
          <w:tcPr>
            <w:tcW w:type="dxa" w:w="1105"/>
            <w:shd w:val="clear" w:color="auto" w:fill="FFFFFF"/>
          </w:tcPr>
          <w:p>
            <w:pPr>
              <w:jc w:val="center"/>
            </w:pPr>
            <w:r/>
            <w:r>
              <w:rPr>
                <w:sz w:val="18"/>
              </w:rPr>
              <w:t>9</w:t>
            </w:r>
          </w:p>
        </w:tc>
        <w:tc>
          <w:tcPr>
            <w:tcW w:type="dxa" w:w="1105"/>
            <w:shd w:val="clear" w:color="auto" w:fill="FFFFFF"/>
          </w:tcPr>
          <w:p>
            <w:pPr>
              <w:jc w:val="left"/>
            </w:pPr>
            <w:r/>
            <w:r>
              <w:rPr>
                <w:sz w:val="18"/>
              </w:rPr>
              <w:t>Scholarship inquiry</w:t>
            </w:r>
          </w:p>
        </w:tc>
        <w:tc>
          <w:tcPr>
            <w:tcW w:type="dxa" w:w="1105"/>
            <w:shd w:val="clear" w:color="auto" w:fill="FFFFFF"/>
          </w:tcPr>
          <w:p>
            <w:pPr>
              <w:jc w:val="center"/>
            </w:pPr>
            <w:r/>
            <w:r>
              <w:rPr>
                <w:sz w:val="18"/>
              </w:rPr>
              <w:t>1.0</w:t>
            </w:r>
          </w:p>
        </w:tc>
        <w:tc>
          <w:tcPr>
            <w:tcW w:type="dxa" w:w="1105"/>
            <w:shd w:val="clear" w:color="auto" w:fill="FFFFFF"/>
          </w:tcPr>
          <w:p>
            <w:pPr>
              <w:jc w:val="center"/>
            </w:pPr>
            <w:r/>
            <w:r>
              <w:rPr>
                <w:sz w:val="18"/>
              </w:rPr>
              <w:t>1.0</w:t>
            </w:r>
          </w:p>
        </w:tc>
        <w:tc>
          <w:tcPr>
            <w:tcW w:type="dxa" w:w="1105"/>
            <w:shd w:val="clear" w:color="auto" w:fill="FFFFFF"/>
          </w:tcPr>
          <w:p>
            <w:pPr>
              <w:jc w:val="center"/>
            </w:pPr>
            <w:r/>
            <w:r>
              <w:rPr>
                <w:sz w:val="18"/>
              </w:rPr>
              <w:t>0.688</w:t>
            </w:r>
          </w:p>
        </w:tc>
        <w:tc>
          <w:tcPr>
            <w:tcW w:type="dxa" w:w="1105"/>
            <w:shd w:val="clear" w:color="auto" w:fill="FFFFFF"/>
          </w:tcPr>
          <w:p>
            <w:pPr>
              <w:jc w:val="center"/>
            </w:pPr>
            <w:r/>
            <w:r>
              <w:rPr>
                <w:sz w:val="18"/>
              </w:rPr>
              <w:t>1.0</w:t>
            </w:r>
          </w:p>
        </w:tc>
        <w:tc>
          <w:tcPr>
            <w:tcW w:type="dxa" w:w="1105"/>
            <w:shd w:val="clear" w:color="auto" w:fill="FFFFFF"/>
          </w:tcPr>
          <w:p>
            <w:pPr>
              <w:jc w:val="center"/>
            </w:pPr>
            <w:r/>
            <w:r>
              <w:rPr>
                <w:sz w:val="18"/>
              </w:rPr>
              <w:t>1.0</w:t>
            </w:r>
          </w:p>
        </w:tc>
        <w:tc>
          <w:tcPr>
            <w:tcW w:type="dxa" w:w="1105"/>
            <w:shd w:val="clear" w:color="auto" w:fill="FFFFFF"/>
          </w:tcPr>
          <w:p>
            <w:pPr>
              <w:jc w:val="center"/>
            </w:pPr>
            <w:r/>
            <w:r>
              <w:rPr>
                <w:b/>
                <w:color w:val="C00000"/>
                <w:sz w:val="18"/>
              </w:rPr>
              <w:t>0.681</w:t>
            </w:r>
          </w:p>
        </w:tc>
      </w:tr>
      <w:tr>
        <w:tc>
          <w:tcPr>
            <w:tcW w:type="dxa" w:w="1105"/>
            <w:shd w:val="clear" w:color="auto" w:fill="EEF2FF"/>
          </w:tcPr>
          <w:p>
            <w:pPr>
              <w:jc w:val="center"/>
            </w:pPr>
            <w:r/>
            <w:r>
              <w:rPr>
                <w:sz w:val="18"/>
              </w:rPr>
              <w:t>10</w:t>
            </w:r>
          </w:p>
        </w:tc>
        <w:tc>
          <w:tcPr>
            <w:tcW w:type="dxa" w:w="1105"/>
            <w:shd w:val="clear" w:color="auto" w:fill="EEF2FF"/>
          </w:tcPr>
          <w:p>
            <w:pPr>
              <w:jc w:val="left"/>
            </w:pPr>
            <w:r/>
            <w:r>
              <w:rPr>
                <w:sz w:val="18"/>
              </w:rPr>
              <w:t>Contract renegotiation</w:t>
            </w:r>
          </w:p>
        </w:tc>
        <w:tc>
          <w:tcPr>
            <w:tcW w:type="dxa" w:w="1105"/>
            <w:shd w:val="clear" w:color="auto" w:fill="EEF2FF"/>
          </w:tcPr>
          <w:p>
            <w:pPr>
              <w:jc w:val="center"/>
            </w:pPr>
            <w:r/>
            <w:r>
              <w:rPr>
                <w:sz w:val="18"/>
              </w:rPr>
              <w:t>1.0</w:t>
            </w:r>
          </w:p>
        </w:tc>
        <w:tc>
          <w:tcPr>
            <w:tcW w:type="dxa" w:w="1105"/>
            <w:shd w:val="clear" w:color="auto" w:fill="EEF2FF"/>
          </w:tcPr>
          <w:p>
            <w:pPr>
              <w:jc w:val="center"/>
            </w:pPr>
            <w:r/>
            <w:r>
              <w:rPr>
                <w:sz w:val="18"/>
              </w:rPr>
              <w:t>1.0</w:t>
            </w:r>
          </w:p>
        </w:tc>
        <w:tc>
          <w:tcPr>
            <w:tcW w:type="dxa" w:w="1105"/>
            <w:shd w:val="clear" w:color="auto" w:fill="EEF2FF"/>
          </w:tcPr>
          <w:p>
            <w:pPr>
              <w:jc w:val="center"/>
            </w:pPr>
            <w:r/>
            <w:r>
              <w:rPr>
                <w:sz w:val="18"/>
              </w:rPr>
              <w:t>0.649</w:t>
            </w:r>
          </w:p>
        </w:tc>
        <w:tc>
          <w:tcPr>
            <w:tcW w:type="dxa" w:w="1105"/>
            <w:shd w:val="clear" w:color="auto" w:fill="EEF2FF"/>
          </w:tcPr>
          <w:p>
            <w:pPr>
              <w:jc w:val="center"/>
            </w:pPr>
            <w:r/>
            <w:r>
              <w:rPr>
                <w:sz w:val="18"/>
              </w:rPr>
              <w:t>1.0</w:t>
            </w:r>
          </w:p>
        </w:tc>
        <w:tc>
          <w:tcPr>
            <w:tcW w:type="dxa" w:w="1105"/>
            <w:shd w:val="clear" w:color="auto" w:fill="EEF2FF"/>
          </w:tcPr>
          <w:p>
            <w:pPr>
              <w:jc w:val="center"/>
            </w:pPr>
            <w:r/>
            <w:r>
              <w:rPr>
                <w:sz w:val="18"/>
              </w:rPr>
              <w:t>1.0</w:t>
            </w:r>
          </w:p>
        </w:tc>
        <w:tc>
          <w:tcPr>
            <w:tcW w:type="dxa" w:w="1105"/>
            <w:shd w:val="clear" w:color="auto" w:fill="EEF2FF"/>
          </w:tcPr>
          <w:p>
            <w:pPr>
              <w:jc w:val="center"/>
            </w:pPr>
            <w:r/>
            <w:r>
              <w:rPr>
                <w:b/>
                <w:color w:val="C00000"/>
                <w:sz w:val="18"/>
              </w:rPr>
              <w:t>0.653</w:t>
            </w:r>
          </w:p>
        </w:tc>
      </w:tr>
    </w:tbl>
    <w:p/>
    <w:p>
      <w:pPr>
        <w:spacing w:after="80" w:before="0"/>
      </w:pPr>
      <w:r>
        <w:t>FR = Fact Recall · TA = Tone Alignment · FL = Fluency · Red = below 1.0 for Baseline</w:t>
      </w:r>
    </w:p>
    <w:p/>
    <w:p>
      <w:pPr>
        <w:pStyle w:val="Heading2"/>
        <w:jc w:val="left"/>
      </w:pPr>
      <w:r>
        <w:t>Summary Averages</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shd w:val="clear" w:color="auto" w:fill="1F3864"/>
          </w:tcPr>
          <w:p>
            <w:pPr>
              <w:jc w:val="center"/>
            </w:pPr>
            <w:r/>
            <w:r>
              <w:rPr>
                <w:b/>
                <w:color w:val="FFFFFF"/>
                <w:sz w:val="20"/>
              </w:rPr>
              <w:t>Strategy</w:t>
            </w:r>
          </w:p>
        </w:tc>
        <w:tc>
          <w:tcPr>
            <w:tcW w:type="dxa" w:w="1768"/>
            <w:shd w:val="clear" w:color="auto" w:fill="1F3864"/>
          </w:tcPr>
          <w:p>
            <w:pPr>
              <w:jc w:val="center"/>
            </w:pPr>
            <w:r/>
            <w:r>
              <w:rPr>
                <w:b/>
                <w:color w:val="FFFFFF"/>
                <w:sz w:val="20"/>
              </w:rPr>
              <w:t>Fact Recall</w:t>
            </w:r>
          </w:p>
        </w:tc>
        <w:tc>
          <w:tcPr>
            <w:tcW w:type="dxa" w:w="1768"/>
            <w:shd w:val="clear" w:color="auto" w:fill="1F3864"/>
          </w:tcPr>
          <w:p>
            <w:pPr>
              <w:jc w:val="center"/>
            </w:pPr>
            <w:r/>
            <w:r>
              <w:rPr>
                <w:b/>
                <w:color w:val="FFFFFF"/>
                <w:sz w:val="20"/>
              </w:rPr>
              <w:t>Tone Alignment</w:t>
            </w:r>
          </w:p>
        </w:tc>
        <w:tc>
          <w:tcPr>
            <w:tcW w:type="dxa" w:w="1768"/>
            <w:shd w:val="clear" w:color="auto" w:fill="1F3864"/>
          </w:tcPr>
          <w:p>
            <w:pPr>
              <w:jc w:val="center"/>
            </w:pPr>
            <w:r/>
            <w:r>
              <w:rPr>
                <w:b/>
                <w:color w:val="FFFFFF"/>
                <w:sz w:val="20"/>
              </w:rPr>
              <w:t>Fluency</w:t>
            </w:r>
          </w:p>
        </w:tc>
        <w:tc>
          <w:tcPr>
            <w:tcW w:type="dxa" w:w="1768"/>
            <w:shd w:val="clear" w:color="auto" w:fill="1F3864"/>
          </w:tcPr>
          <w:p>
            <w:pPr>
              <w:jc w:val="center"/>
            </w:pPr>
            <w:r/>
            <w:r>
              <w:rPr>
                <w:b/>
                <w:color w:val="FFFFFF"/>
                <w:sz w:val="20"/>
              </w:rPr>
              <w:t>Overall</w:t>
            </w:r>
          </w:p>
        </w:tc>
      </w:tr>
      <w:tr>
        <w:tc>
          <w:tcPr>
            <w:tcW w:type="dxa" w:w="1768"/>
            <w:shd w:val="clear" w:color="auto" w:fill="D9EAD3"/>
          </w:tcPr>
          <w:p>
            <w:pPr>
              <w:jc w:val="left"/>
            </w:pPr>
            <w:r/>
            <w:r>
              <w:rPr>
                <w:b w:val="0"/>
                <w:sz w:val="20"/>
              </w:rPr>
              <w:t>Advanced (role-play + few-shot + tone hints)</w:t>
            </w:r>
          </w:p>
        </w:tc>
        <w:tc>
          <w:tcPr>
            <w:tcW w:type="dxa" w:w="1768"/>
            <w:shd w:val="clear" w:color="auto" w:fill="D9EAD3"/>
          </w:tcPr>
          <w:p>
            <w:pPr>
              <w:jc w:val="center"/>
            </w:pPr>
            <w:r/>
            <w:r>
              <w:rPr>
                <w:b w:val="0"/>
                <w:sz w:val="20"/>
              </w:rPr>
              <w:t>1.000</w:t>
            </w:r>
          </w:p>
        </w:tc>
        <w:tc>
          <w:tcPr>
            <w:tcW w:type="dxa" w:w="1768"/>
            <w:shd w:val="clear" w:color="auto" w:fill="D9EAD3"/>
          </w:tcPr>
          <w:p>
            <w:pPr>
              <w:jc w:val="center"/>
            </w:pPr>
            <w:r/>
            <w:r>
              <w:rPr>
                <w:b w:val="0"/>
                <w:sz w:val="20"/>
              </w:rPr>
              <w:t>1.000</w:t>
            </w:r>
          </w:p>
        </w:tc>
        <w:tc>
          <w:tcPr>
            <w:tcW w:type="dxa" w:w="1768"/>
            <w:shd w:val="clear" w:color="auto" w:fill="D9EAD3"/>
          </w:tcPr>
          <w:p>
            <w:pPr>
              <w:jc w:val="center"/>
            </w:pPr>
            <w:r/>
            <w:r>
              <w:rPr>
                <w:b w:val="0"/>
                <w:sz w:val="20"/>
              </w:rPr>
              <w:t>0.677</w:t>
            </w:r>
          </w:p>
        </w:tc>
        <w:tc>
          <w:tcPr>
            <w:tcW w:type="dxa" w:w="1768"/>
            <w:shd w:val="clear" w:color="auto" w:fill="D9EAD3"/>
          </w:tcPr>
          <w:p>
            <w:pPr>
              <w:jc w:val="center"/>
            </w:pPr>
            <w:r/>
            <w:r>
              <w:rPr>
                <w:b/>
                <w:sz w:val="20"/>
              </w:rPr>
              <w:t>0.8925</w:t>
            </w:r>
          </w:p>
        </w:tc>
      </w:tr>
      <w:tr>
        <w:tc>
          <w:tcPr>
            <w:tcW w:type="dxa" w:w="1768"/>
            <w:shd w:val="clear" w:color="auto" w:fill="FCE5CD"/>
          </w:tcPr>
          <w:p>
            <w:pPr>
              <w:jc w:val="left"/>
            </w:pPr>
            <w:r/>
            <w:r>
              <w:rPr>
                <w:b w:val="0"/>
                <w:sz w:val="20"/>
              </w:rPr>
              <w:t>Baseline (zero-shot only)</w:t>
            </w:r>
          </w:p>
        </w:tc>
        <w:tc>
          <w:tcPr>
            <w:tcW w:type="dxa" w:w="1768"/>
            <w:shd w:val="clear" w:color="auto" w:fill="FCE5CD"/>
          </w:tcPr>
          <w:p>
            <w:pPr>
              <w:jc w:val="center"/>
            </w:pPr>
            <w:r/>
            <w:r>
              <w:rPr>
                <w:b w:val="0"/>
                <w:sz w:val="20"/>
              </w:rPr>
              <w:t>0.975</w:t>
            </w:r>
          </w:p>
        </w:tc>
        <w:tc>
          <w:tcPr>
            <w:tcW w:type="dxa" w:w="1768"/>
            <w:shd w:val="clear" w:color="auto" w:fill="FCE5CD"/>
          </w:tcPr>
          <w:p>
            <w:pPr>
              <w:jc w:val="center"/>
            </w:pPr>
            <w:r/>
            <w:r>
              <w:rPr>
                <w:b w:val="0"/>
                <w:sz w:val="20"/>
              </w:rPr>
              <w:t>0.900</w:t>
            </w:r>
          </w:p>
        </w:tc>
        <w:tc>
          <w:tcPr>
            <w:tcW w:type="dxa" w:w="1768"/>
            <w:shd w:val="clear" w:color="auto" w:fill="FCE5CD"/>
          </w:tcPr>
          <w:p>
            <w:pPr>
              <w:jc w:val="center"/>
            </w:pPr>
            <w:r/>
            <w:r>
              <w:rPr>
                <w:b w:val="0"/>
                <w:sz w:val="20"/>
              </w:rPr>
              <w:t>0.684</w:t>
            </w:r>
          </w:p>
        </w:tc>
        <w:tc>
          <w:tcPr>
            <w:tcW w:type="dxa" w:w="1768"/>
            <w:shd w:val="clear" w:color="auto" w:fill="FCE5CD"/>
          </w:tcPr>
          <w:p>
            <w:pPr>
              <w:jc w:val="center"/>
            </w:pPr>
            <w:r/>
            <w:r>
              <w:rPr>
                <w:b/>
                <w:sz w:val="20"/>
              </w:rPr>
              <w:t>0.853</w:t>
            </w:r>
          </w:p>
        </w:tc>
      </w:tr>
    </w:tbl>
    <w:p/>
    <w:p>
      <w:pPr>
        <w:pStyle w:val="Heading1"/>
        <w:jc w:val="left"/>
      </w:pPr>
      <w:r>
        <w:t>5. Comparative Analysis</w:t>
      </w:r>
    </w:p>
    <w:p>
      <w:pPr>
        <w:pStyle w:val="Heading2"/>
        <w:jc w:val="left"/>
      </w:pPr>
      <w:r>
        <w:t>Which strategy performed better?</w:t>
      </w:r>
    </w:p>
    <w:p>
      <w:pPr>
        <w:spacing w:after="120" w:before="0"/>
      </w:pPr>
      <w:r>
        <w:t>The Advanced prompt strategy (0.8925 overall) outperforms the Baseline (0.853) — a +4.6% improvement in overall score. More importantly, it achieves perfect scores on both Fact Recall (1.0) and Tone Alignment (1.0) across all 10 scenarios, while the Baseline scores 0.975 and 0.900 respectively.</w:t>
      </w:r>
    </w:p>
    <w:p>
      <w:pPr>
        <w:pStyle w:val="Heading2"/>
        <w:jc w:val="left"/>
      </w:pPr>
      <w:r>
        <w:t>Biggest failure mode of the Baseline</w:t>
      </w:r>
    </w:p>
    <w:p>
      <w:pPr>
        <w:spacing w:after="120" w:before="0"/>
      </w:pPr>
      <w:r>
        <w:t>Tone calibration on non-default tones. The zero-shot baseline defaults to formal/corporate language regardless of what tone is requested, because it has no reference for what 'casual' or 'urgent' looks like in practice. Three scenarios expose this clearly:</w:t>
      </w:r>
    </w:p>
    <w:p>
      <w:pPr>
        <w:pStyle w:val="ListBullet"/>
        <w:spacing w:after="60"/>
      </w:pPr>
      <w:r>
        <w:t>S3 (Casual, persuasive): Baseline scored 0.629 — tone=0.5, fact recall=0.75. The model wrote 'I came across your company and thought our AI-powered HR automation tool could be a great fit' — stiff, corporate phrasing — and missed one of the four provided facts. Advanced scored 0.896 — tone=1.0, fact recall=1.0.</w:t>
      </w:r>
    </w:p>
    <w:p>
      <w:pPr>
        <w:pStyle w:val="ListBullet"/>
        <w:spacing w:after="60"/>
      </w:pPr>
      <w:r>
        <w:t>S7 (Enthusiastic, professional): Baseline tone=0.75 — enthusiasm only 'mildly conveyed.' Advanced tone=1.0.</w:t>
      </w:r>
    </w:p>
    <w:p>
      <w:pPr>
        <w:pStyle w:val="ListBullet"/>
        <w:spacing w:after="60"/>
      </w:pPr>
      <w:r>
        <w:t>S8 (Urgent, direct): Baseline tone=0.75 — added warm opener and 'Best regards' close. Advanced tone=1.0, led directly with the problem, ended with a brief status line.</w:t>
      </w:r>
    </w:p>
    <w:p>
      <w:pPr>
        <w:pStyle w:val="Heading2"/>
        <w:jc w:val="left"/>
      </w:pPr>
      <w:r>
        <w:t>Production Recommendation</w:t>
      </w:r>
    </w:p>
    <w:p>
      <w:pPr>
        <w:spacing w:after="120" w:before="0"/>
      </w:pPr>
      <w:r>
        <w:t>Recommend the Advanced prompt strategy. Four reasons grounded in the metric data:</w:t>
      </w:r>
    </w:p>
    <w:p>
      <w:pPr>
        <w:pStyle w:val="ListBullet"/>
        <w:spacing w:after="60"/>
      </w:pPr>
      <w:r>
        <w:t>Perfect fact recall (1.0 vs 0.975): Every provided fact appears in every email. A missed deadline or discount offer in a production email is a business error.</w:t>
      </w:r>
    </w:p>
    <w:p>
      <w:pPr>
        <w:pStyle w:val="ListBullet"/>
        <w:spacing w:after="60"/>
      </w:pPr>
      <w:r>
        <w:t>Perfect tone alignment (1.0 vs 0.9): The 10% gap is not uniform — baseline fails hard on non-standard tones. Casual and urgent tones are common in real-world use (sales outreach, incident response). A production system must handle them reliably.</w:t>
      </w:r>
    </w:p>
    <w:p>
      <w:pPr>
        <w:pStyle w:val="ListBullet"/>
        <w:spacing w:after="60"/>
      </w:pPr>
      <w:r>
        <w:t>Comparable fluency (0.677 vs 0.684): The Baseline's slightly higher ROUGE-L is expected — it generates more 'template-like' emails that match references structurally. The Advanced prompt's lower ROUGE-L on casual scenarios is correct behaviour, not a deficiency.</w:t>
      </w:r>
    </w:p>
    <w:p>
      <w:pPr>
        <w:pStyle w:val="ListBullet"/>
        <w:spacing w:after="60"/>
      </w:pPr>
      <w:r>
        <w:t>Reliability: Advanced prompt's consistent performance (no scenario below 0.87) vs Baseline's high variance (0.629–0.919 range) makes it far more predictable in production.</w:t>
      </w:r>
    </w:p>
    <w:p/>
    <w:p>
      <w:pPr>
        <w:pStyle w:val="Heading1"/>
        <w:jc w:val="left"/>
      </w:pPr>
      <w:r>
        <w:t>6. Technical Architecture</w:t>
      </w:r>
    </w:p>
    <w:p>
      <w:pPr>
        <w:pStyle w:val="Heading2"/>
        <w:jc w:val="left"/>
      </w:pPr>
      <w:r>
        <w:t>Stack</w:t>
      </w:r>
    </w:p>
    <w:p>
      <w:pPr>
        <w:pStyle w:val="ListBullet"/>
        <w:spacing w:after="60"/>
      </w:pPr>
      <w:r>
        <w:t>Model: Gemini 3.1 Flash Lite (gemini-3.1-flash-lite) — 500 RPD free tier</w:t>
      </w:r>
    </w:p>
    <w:p>
      <w:pPr>
        <w:pStyle w:val="ListBullet"/>
        <w:spacing w:after="60"/>
      </w:pPr>
      <w:r>
        <w:t>Generation: google-genai Python SDK</w:t>
      </w:r>
    </w:p>
    <w:p>
      <w:pPr>
        <w:pStyle w:val="ListBullet"/>
        <w:spacing w:after="60"/>
      </w:pPr>
      <w:r>
        <w:t>Evaluation judge: same model (temperature=0) for score consistency</w:t>
      </w:r>
    </w:p>
    <w:p>
      <w:pPr>
        <w:pStyle w:val="ListBullet"/>
        <w:spacing w:after="60"/>
      </w:pPr>
      <w:r>
        <w:t>ROUGE-L: rouge-score library (automated fluency component)</w:t>
      </w:r>
    </w:p>
    <w:p>
      <w:pPr>
        <w:pStyle w:val="ListBullet"/>
        <w:spacing w:after="60"/>
      </w:pPr>
      <w:r>
        <w:t>Retry: Tenacity — exponential backoff, 4 attempts, 10–90s window</w:t>
      </w:r>
    </w:p>
    <w:p>
      <w:pPr>
        <w:pStyle w:val="ListBullet"/>
        <w:spacing w:after="60"/>
      </w:pPr>
      <w:r>
        <w:t>Rate limiting: 5s sleep between judge calls, 20s between scenarios (~6 RPM)</w:t>
      </w:r>
    </w:p>
    <w:p>
      <w:pPr>
        <w:pStyle w:val="ListBullet"/>
        <w:spacing w:after="60"/>
      </w:pPr>
      <w:r>
        <w:t>Demo: Streamlit (streamlit_app.py) — Advanced vs Baseline side-by-side</w:t>
      </w:r>
    </w:p>
    <w:p>
      <w:pPr>
        <w:pStyle w:val="Heading2"/>
        <w:jc w:val="left"/>
      </w:pPr>
      <w:r>
        <w:t>File Structure</w:t>
      </w:r>
    </w:p>
    <w:p>
      <w:pPr>
        <w:ind w:left="432"/>
      </w:pPr>
      <w:r>
        <w:rPr>
          <w:rFonts w:ascii="Courier New" w:hAnsi="Courier New"/>
          <w:sz w:val="18"/>
        </w:rPr>
        <w:t>email-gen-assistant/</w:t>
        <w:br/>
        <w:t>├── app/</w:t>
        <w:br/>
        <w:t>│   ├── prompts.py       # All prompt templates + few-shot + tone hints</w:t>
        <w:br/>
        <w:t>│   ├── generator.py     # generate_mail() for both strategies</w:t>
        <w:br/>
        <w:t>│   └── evaluator.py     # 3 custom metrics + LLM judge calls</w:t>
        <w:br/>
        <w:t>├── data/</w:t>
        <w:br/>
        <w:t>│   ├── scenarios.json   # 10 evaluation scenarios</w:t>
        <w:br/>
        <w:t>│   └── references.json  # 10 human-written reference emails</w:t>
        <w:br/>
        <w:t>├── results/</w:t>
        <w:br/>
        <w:t>│   ├── eval_report.json # Full results with justifications</w:t>
        <w:br/>
        <w:t>│   └── eval_report.csv  # Flat table for spreadsheet review</w:t>
        <w:br/>
        <w:t>├── streamlit_app.py     # Interactive demo</w:t>
        <w:br/>
        <w:t>└── run_eval.py          # Evaluation runner</w:t>
      </w:r>
    </w:p>
    <w:p/>
    <w:p>
      <w:pPr>
        <w:spacing w:after="80" w:before="0"/>
      </w:pPr>
      <w:r>
        <w:t>Full raw evaluation data (all 20 rows, all metric scores, and LLM justifications) is available in results/eval_report.json and results/eval_report.csv in the GitHub repository.</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