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lang w:val="en-PK" w:eastAsia="en-PK"/>
        </w:rPr>
        <w:id w:val="1213231509"/>
        <w:docPartObj>
          <w:docPartGallery w:val="Table of Contents"/>
          <w:docPartUnique/>
        </w:docPartObj>
      </w:sdtPr>
      <w:sdtEndPr>
        <w:rPr>
          <w:b/>
          <w:bCs/>
          <w:noProof/>
        </w:rPr>
      </w:sdtEndPr>
      <w:sdtContent>
        <w:p w14:paraId="0F52E78D" w14:textId="6CD9E370" w:rsidR="00F32F8A" w:rsidRPr="008C55B5" w:rsidRDefault="00F32F8A">
          <w:pPr>
            <w:pStyle w:val="TOCHeading"/>
            <w:rPr>
              <w:rFonts w:asciiTheme="majorBidi" w:hAnsiTheme="majorBidi"/>
              <w:b/>
              <w:bCs/>
              <w:color w:val="auto"/>
            </w:rPr>
          </w:pPr>
          <w:r w:rsidRPr="008C55B5">
            <w:rPr>
              <w:rFonts w:asciiTheme="majorBidi" w:hAnsiTheme="majorBidi"/>
              <w:b/>
              <w:bCs/>
              <w:color w:val="auto"/>
            </w:rPr>
            <w:t>Contents</w:t>
          </w:r>
        </w:p>
        <w:p w14:paraId="46C0EF73" w14:textId="092E17ED" w:rsidR="00F9196A" w:rsidRDefault="00F32F8A">
          <w:pPr>
            <w:pStyle w:val="TOC1"/>
            <w:tabs>
              <w:tab w:val="right" w:leader="dot" w:pos="9016"/>
            </w:tabs>
            <w:rPr>
              <w:rFonts w:asciiTheme="minorHAnsi" w:eastAsiaTheme="minorEastAsia" w:hAnsiTheme="minorHAnsi" w:cstheme="minorBidi"/>
              <w:noProof/>
              <w:kern w:val="2"/>
              <w:lang w:val="en-PK" w:eastAsia="en-PK"/>
              <w14:ligatures w14:val="standardContextual"/>
            </w:rPr>
          </w:pPr>
          <w:r w:rsidRPr="008C55B5">
            <w:fldChar w:fldCharType="begin"/>
          </w:r>
          <w:r w:rsidRPr="008C55B5">
            <w:instrText xml:space="preserve"> TOC \o "1-3" \h \z \u </w:instrText>
          </w:r>
          <w:r w:rsidRPr="008C55B5">
            <w:fldChar w:fldCharType="separate"/>
          </w:r>
          <w:hyperlink w:anchor="_Toc239877043" w:history="1">
            <w:r w:rsidR="00F9196A" w:rsidRPr="00DA2318">
              <w:rPr>
                <w:rStyle w:val="Hyperlink"/>
                <w:rFonts w:asciiTheme="majorBidi" w:hAnsiTheme="majorBidi" w:cstheme="majorBidi"/>
                <w:b/>
                <w:bCs/>
                <w:noProof/>
                <w:lang w:val="en-GB"/>
              </w:rPr>
              <w:t>2.0 Literature Review</w:t>
            </w:r>
            <w:r w:rsidR="00F9196A">
              <w:rPr>
                <w:noProof/>
                <w:webHidden/>
              </w:rPr>
              <w:tab/>
            </w:r>
            <w:r w:rsidR="00F9196A">
              <w:rPr>
                <w:noProof/>
                <w:webHidden/>
              </w:rPr>
              <w:fldChar w:fldCharType="begin"/>
            </w:r>
            <w:r w:rsidR="00F9196A">
              <w:rPr>
                <w:noProof/>
                <w:webHidden/>
              </w:rPr>
              <w:instrText xml:space="preserve"> PAGEREF _Toc239877043 \h </w:instrText>
            </w:r>
            <w:r w:rsidR="00F9196A">
              <w:rPr>
                <w:noProof/>
                <w:webHidden/>
              </w:rPr>
            </w:r>
            <w:r w:rsidR="00F9196A">
              <w:rPr>
                <w:noProof/>
                <w:webHidden/>
              </w:rPr>
              <w:fldChar w:fldCharType="separate"/>
            </w:r>
            <w:r w:rsidR="00F9196A">
              <w:rPr>
                <w:noProof/>
                <w:webHidden/>
              </w:rPr>
              <w:t>2</w:t>
            </w:r>
            <w:r w:rsidR="00F9196A">
              <w:rPr>
                <w:noProof/>
                <w:webHidden/>
              </w:rPr>
              <w:fldChar w:fldCharType="end"/>
            </w:r>
          </w:hyperlink>
        </w:p>
        <w:p w14:paraId="72AEE5D7" w14:textId="0AC7CE63" w:rsidR="00F9196A" w:rsidRDefault="00F9196A">
          <w:pPr>
            <w:pStyle w:val="TOC2"/>
            <w:tabs>
              <w:tab w:val="right" w:leader="dot" w:pos="9016"/>
            </w:tabs>
            <w:rPr>
              <w:rFonts w:asciiTheme="minorHAnsi" w:eastAsiaTheme="minorEastAsia" w:hAnsiTheme="minorHAnsi" w:cstheme="minorBidi"/>
              <w:noProof/>
              <w:kern w:val="2"/>
              <w:lang w:val="en-PK" w:eastAsia="en-PK"/>
              <w14:ligatures w14:val="standardContextual"/>
            </w:rPr>
          </w:pPr>
          <w:hyperlink w:anchor="_Toc239877044" w:history="1">
            <w:r w:rsidRPr="00DA2318">
              <w:rPr>
                <w:rStyle w:val="Hyperlink"/>
                <w:rFonts w:asciiTheme="majorBidi" w:hAnsiTheme="majorBidi" w:cstheme="majorBidi"/>
                <w:b/>
                <w:bCs/>
                <w:noProof/>
                <w:lang w:val="en-GB"/>
              </w:rPr>
              <w:t>2.1 Introduction</w:t>
            </w:r>
            <w:r>
              <w:rPr>
                <w:noProof/>
                <w:webHidden/>
              </w:rPr>
              <w:tab/>
            </w:r>
            <w:r>
              <w:rPr>
                <w:noProof/>
                <w:webHidden/>
              </w:rPr>
              <w:fldChar w:fldCharType="begin"/>
            </w:r>
            <w:r>
              <w:rPr>
                <w:noProof/>
                <w:webHidden/>
              </w:rPr>
              <w:instrText xml:space="preserve"> PAGEREF _Toc239877044 \h </w:instrText>
            </w:r>
            <w:r>
              <w:rPr>
                <w:noProof/>
                <w:webHidden/>
              </w:rPr>
            </w:r>
            <w:r>
              <w:rPr>
                <w:noProof/>
                <w:webHidden/>
              </w:rPr>
              <w:fldChar w:fldCharType="separate"/>
            </w:r>
            <w:r>
              <w:rPr>
                <w:noProof/>
                <w:webHidden/>
              </w:rPr>
              <w:t>2</w:t>
            </w:r>
            <w:r>
              <w:rPr>
                <w:noProof/>
                <w:webHidden/>
              </w:rPr>
              <w:fldChar w:fldCharType="end"/>
            </w:r>
          </w:hyperlink>
        </w:p>
        <w:p w14:paraId="3AB46BDB" w14:textId="354610EA" w:rsidR="00F9196A" w:rsidRDefault="00F9196A">
          <w:pPr>
            <w:pStyle w:val="TOC2"/>
            <w:tabs>
              <w:tab w:val="right" w:leader="dot" w:pos="9016"/>
            </w:tabs>
            <w:rPr>
              <w:rFonts w:asciiTheme="minorHAnsi" w:eastAsiaTheme="minorEastAsia" w:hAnsiTheme="minorHAnsi" w:cstheme="minorBidi"/>
              <w:noProof/>
              <w:kern w:val="2"/>
              <w:lang w:val="en-PK" w:eastAsia="en-PK"/>
              <w14:ligatures w14:val="standardContextual"/>
            </w:rPr>
          </w:pPr>
          <w:hyperlink w:anchor="_Toc239877045" w:history="1">
            <w:r w:rsidRPr="00DA2318">
              <w:rPr>
                <w:rStyle w:val="Hyperlink"/>
                <w:rFonts w:asciiTheme="majorBidi" w:hAnsiTheme="majorBidi" w:cstheme="majorBidi"/>
                <w:b/>
                <w:bCs/>
                <w:noProof/>
                <w:lang w:val="en-GB"/>
              </w:rPr>
              <w:t>2.2 Predictive Performance and Its Limits: A Critical Appraisal of ML/DL Approaches</w:t>
            </w:r>
            <w:r>
              <w:rPr>
                <w:noProof/>
                <w:webHidden/>
              </w:rPr>
              <w:tab/>
            </w:r>
            <w:r>
              <w:rPr>
                <w:noProof/>
                <w:webHidden/>
              </w:rPr>
              <w:fldChar w:fldCharType="begin"/>
            </w:r>
            <w:r>
              <w:rPr>
                <w:noProof/>
                <w:webHidden/>
              </w:rPr>
              <w:instrText xml:space="preserve"> PAGEREF _Toc239877045 \h </w:instrText>
            </w:r>
            <w:r>
              <w:rPr>
                <w:noProof/>
                <w:webHidden/>
              </w:rPr>
            </w:r>
            <w:r>
              <w:rPr>
                <w:noProof/>
                <w:webHidden/>
              </w:rPr>
              <w:fldChar w:fldCharType="separate"/>
            </w:r>
            <w:r>
              <w:rPr>
                <w:noProof/>
                <w:webHidden/>
              </w:rPr>
              <w:t>3</w:t>
            </w:r>
            <w:r>
              <w:rPr>
                <w:noProof/>
                <w:webHidden/>
              </w:rPr>
              <w:fldChar w:fldCharType="end"/>
            </w:r>
          </w:hyperlink>
        </w:p>
        <w:p w14:paraId="369A890D" w14:textId="15D36C21" w:rsidR="00F9196A" w:rsidRDefault="00F9196A">
          <w:pPr>
            <w:pStyle w:val="TOC2"/>
            <w:tabs>
              <w:tab w:val="right" w:leader="dot" w:pos="9016"/>
            </w:tabs>
            <w:rPr>
              <w:rFonts w:asciiTheme="minorHAnsi" w:eastAsiaTheme="minorEastAsia" w:hAnsiTheme="minorHAnsi" w:cstheme="minorBidi"/>
              <w:noProof/>
              <w:kern w:val="2"/>
              <w:lang w:val="en-PK" w:eastAsia="en-PK"/>
              <w14:ligatures w14:val="standardContextual"/>
            </w:rPr>
          </w:pPr>
          <w:hyperlink w:anchor="_Toc239877046" w:history="1">
            <w:r w:rsidRPr="00DA2318">
              <w:rPr>
                <w:rStyle w:val="Hyperlink"/>
                <w:rFonts w:asciiTheme="majorBidi" w:hAnsiTheme="majorBidi" w:cstheme="majorBidi"/>
                <w:b/>
                <w:bCs/>
                <w:noProof/>
                <w:lang w:val="en-GB"/>
              </w:rPr>
              <w:t>2.3 African and Ghanaian Evidence: Feasibility Without Sufficiency</w:t>
            </w:r>
            <w:r>
              <w:rPr>
                <w:noProof/>
                <w:webHidden/>
              </w:rPr>
              <w:tab/>
            </w:r>
            <w:r>
              <w:rPr>
                <w:noProof/>
                <w:webHidden/>
              </w:rPr>
              <w:fldChar w:fldCharType="begin"/>
            </w:r>
            <w:r>
              <w:rPr>
                <w:noProof/>
                <w:webHidden/>
              </w:rPr>
              <w:instrText xml:space="preserve"> PAGEREF _Toc239877046 \h </w:instrText>
            </w:r>
            <w:r>
              <w:rPr>
                <w:noProof/>
                <w:webHidden/>
              </w:rPr>
            </w:r>
            <w:r>
              <w:rPr>
                <w:noProof/>
                <w:webHidden/>
              </w:rPr>
              <w:fldChar w:fldCharType="separate"/>
            </w:r>
            <w:r>
              <w:rPr>
                <w:noProof/>
                <w:webHidden/>
              </w:rPr>
              <w:t>6</w:t>
            </w:r>
            <w:r>
              <w:rPr>
                <w:noProof/>
                <w:webHidden/>
              </w:rPr>
              <w:fldChar w:fldCharType="end"/>
            </w:r>
          </w:hyperlink>
        </w:p>
        <w:p w14:paraId="61887F0D" w14:textId="5CBBA429" w:rsidR="00F9196A" w:rsidRDefault="00F9196A">
          <w:pPr>
            <w:pStyle w:val="TOC2"/>
            <w:tabs>
              <w:tab w:val="right" w:leader="dot" w:pos="9016"/>
            </w:tabs>
            <w:rPr>
              <w:rFonts w:asciiTheme="minorHAnsi" w:eastAsiaTheme="minorEastAsia" w:hAnsiTheme="minorHAnsi" w:cstheme="minorBidi"/>
              <w:noProof/>
              <w:kern w:val="2"/>
              <w:lang w:val="en-PK" w:eastAsia="en-PK"/>
              <w14:ligatures w14:val="standardContextual"/>
            </w:rPr>
          </w:pPr>
          <w:hyperlink w:anchor="_Toc239877047" w:history="1">
            <w:r w:rsidRPr="00DA2318">
              <w:rPr>
                <w:rStyle w:val="Hyperlink"/>
                <w:rFonts w:asciiTheme="majorBidi" w:hAnsiTheme="majorBidi" w:cstheme="majorBidi"/>
                <w:b/>
                <w:bCs/>
                <w:noProof/>
                <w:lang w:val="en-GB"/>
              </w:rPr>
              <w:t>2.4 Clinical Decision Support Systems: Evidence of Benefit, Evidence of Difficulty</w:t>
            </w:r>
            <w:r>
              <w:rPr>
                <w:noProof/>
                <w:webHidden/>
              </w:rPr>
              <w:tab/>
            </w:r>
            <w:r>
              <w:rPr>
                <w:noProof/>
                <w:webHidden/>
              </w:rPr>
              <w:fldChar w:fldCharType="begin"/>
            </w:r>
            <w:r>
              <w:rPr>
                <w:noProof/>
                <w:webHidden/>
              </w:rPr>
              <w:instrText xml:space="preserve"> PAGEREF _Toc239877047 \h </w:instrText>
            </w:r>
            <w:r>
              <w:rPr>
                <w:noProof/>
                <w:webHidden/>
              </w:rPr>
            </w:r>
            <w:r>
              <w:rPr>
                <w:noProof/>
                <w:webHidden/>
              </w:rPr>
              <w:fldChar w:fldCharType="separate"/>
            </w:r>
            <w:r>
              <w:rPr>
                <w:noProof/>
                <w:webHidden/>
              </w:rPr>
              <w:t>10</w:t>
            </w:r>
            <w:r>
              <w:rPr>
                <w:noProof/>
                <w:webHidden/>
              </w:rPr>
              <w:fldChar w:fldCharType="end"/>
            </w:r>
          </w:hyperlink>
        </w:p>
        <w:p w14:paraId="4C7F12ED" w14:textId="7755FA84" w:rsidR="00F9196A" w:rsidRDefault="00F9196A">
          <w:pPr>
            <w:pStyle w:val="TOC2"/>
            <w:tabs>
              <w:tab w:val="right" w:leader="dot" w:pos="9016"/>
            </w:tabs>
            <w:rPr>
              <w:rFonts w:asciiTheme="minorHAnsi" w:eastAsiaTheme="minorEastAsia" w:hAnsiTheme="minorHAnsi" w:cstheme="minorBidi"/>
              <w:noProof/>
              <w:kern w:val="2"/>
              <w:lang w:val="en-PK" w:eastAsia="en-PK"/>
              <w14:ligatures w14:val="standardContextual"/>
            </w:rPr>
          </w:pPr>
          <w:hyperlink w:anchor="_Toc239877048" w:history="1">
            <w:r w:rsidRPr="00DA2318">
              <w:rPr>
                <w:rStyle w:val="Hyperlink"/>
                <w:rFonts w:asciiTheme="majorBidi" w:hAnsiTheme="majorBidi" w:cstheme="majorBidi"/>
                <w:b/>
                <w:bCs/>
                <w:noProof/>
                <w:lang w:val="en-GB"/>
              </w:rPr>
              <w:t>2.5 Explainable Artificial Intelligence: Technical Maturity, Clinical Immaturity</w:t>
            </w:r>
            <w:r>
              <w:rPr>
                <w:noProof/>
                <w:webHidden/>
              </w:rPr>
              <w:tab/>
            </w:r>
            <w:r>
              <w:rPr>
                <w:noProof/>
                <w:webHidden/>
              </w:rPr>
              <w:fldChar w:fldCharType="begin"/>
            </w:r>
            <w:r>
              <w:rPr>
                <w:noProof/>
                <w:webHidden/>
              </w:rPr>
              <w:instrText xml:space="preserve"> PAGEREF _Toc239877048 \h </w:instrText>
            </w:r>
            <w:r>
              <w:rPr>
                <w:noProof/>
                <w:webHidden/>
              </w:rPr>
            </w:r>
            <w:r>
              <w:rPr>
                <w:noProof/>
                <w:webHidden/>
              </w:rPr>
              <w:fldChar w:fldCharType="separate"/>
            </w:r>
            <w:r>
              <w:rPr>
                <w:noProof/>
                <w:webHidden/>
              </w:rPr>
              <w:t>13</w:t>
            </w:r>
            <w:r>
              <w:rPr>
                <w:noProof/>
                <w:webHidden/>
              </w:rPr>
              <w:fldChar w:fldCharType="end"/>
            </w:r>
          </w:hyperlink>
        </w:p>
        <w:p w14:paraId="4205FBF1" w14:textId="04B08E70" w:rsidR="00F9196A" w:rsidRDefault="00F9196A">
          <w:pPr>
            <w:pStyle w:val="TOC2"/>
            <w:tabs>
              <w:tab w:val="right" w:leader="dot" w:pos="9016"/>
            </w:tabs>
            <w:rPr>
              <w:rFonts w:asciiTheme="minorHAnsi" w:eastAsiaTheme="minorEastAsia" w:hAnsiTheme="minorHAnsi" w:cstheme="minorBidi"/>
              <w:noProof/>
              <w:kern w:val="2"/>
              <w:lang w:val="en-PK" w:eastAsia="en-PK"/>
              <w14:ligatures w14:val="standardContextual"/>
            </w:rPr>
          </w:pPr>
          <w:hyperlink w:anchor="_Toc239877049" w:history="1">
            <w:r w:rsidRPr="00DA2318">
              <w:rPr>
                <w:rStyle w:val="Hyperlink"/>
                <w:rFonts w:asciiTheme="majorBidi" w:hAnsiTheme="majorBidi" w:cstheme="majorBidi"/>
                <w:b/>
                <w:bCs/>
                <w:noProof/>
                <w:lang w:val="en-GB"/>
              </w:rPr>
              <w:t>2.6 Synthesis: Convergence of Gaps</w:t>
            </w:r>
            <w:r>
              <w:rPr>
                <w:noProof/>
                <w:webHidden/>
              </w:rPr>
              <w:tab/>
            </w:r>
            <w:r>
              <w:rPr>
                <w:noProof/>
                <w:webHidden/>
              </w:rPr>
              <w:fldChar w:fldCharType="begin"/>
            </w:r>
            <w:r>
              <w:rPr>
                <w:noProof/>
                <w:webHidden/>
              </w:rPr>
              <w:instrText xml:space="preserve"> PAGEREF _Toc239877049 \h </w:instrText>
            </w:r>
            <w:r>
              <w:rPr>
                <w:noProof/>
                <w:webHidden/>
              </w:rPr>
            </w:r>
            <w:r>
              <w:rPr>
                <w:noProof/>
                <w:webHidden/>
              </w:rPr>
              <w:fldChar w:fldCharType="separate"/>
            </w:r>
            <w:r>
              <w:rPr>
                <w:noProof/>
                <w:webHidden/>
              </w:rPr>
              <w:t>17</w:t>
            </w:r>
            <w:r>
              <w:rPr>
                <w:noProof/>
                <w:webHidden/>
              </w:rPr>
              <w:fldChar w:fldCharType="end"/>
            </w:r>
          </w:hyperlink>
        </w:p>
        <w:p w14:paraId="7A9F3153" w14:textId="50307536" w:rsidR="00F9196A" w:rsidRDefault="00F9196A">
          <w:pPr>
            <w:pStyle w:val="TOC1"/>
            <w:tabs>
              <w:tab w:val="right" w:leader="dot" w:pos="9016"/>
            </w:tabs>
            <w:rPr>
              <w:rFonts w:asciiTheme="minorHAnsi" w:eastAsiaTheme="minorEastAsia" w:hAnsiTheme="minorHAnsi" w:cstheme="minorBidi"/>
              <w:noProof/>
              <w:kern w:val="2"/>
              <w:lang w:val="en-PK" w:eastAsia="en-PK"/>
              <w14:ligatures w14:val="standardContextual"/>
            </w:rPr>
          </w:pPr>
          <w:hyperlink w:anchor="_Toc239877050" w:history="1">
            <w:r w:rsidRPr="00DA2318">
              <w:rPr>
                <w:rStyle w:val="Hyperlink"/>
                <w:b/>
                <w:bCs/>
                <w:noProof/>
              </w:rPr>
              <w:t>References</w:t>
            </w:r>
            <w:r>
              <w:rPr>
                <w:noProof/>
                <w:webHidden/>
              </w:rPr>
              <w:tab/>
            </w:r>
            <w:r>
              <w:rPr>
                <w:noProof/>
                <w:webHidden/>
              </w:rPr>
              <w:fldChar w:fldCharType="begin"/>
            </w:r>
            <w:r>
              <w:rPr>
                <w:noProof/>
                <w:webHidden/>
              </w:rPr>
              <w:instrText xml:space="preserve"> PAGEREF _Toc239877050 \h </w:instrText>
            </w:r>
            <w:r>
              <w:rPr>
                <w:noProof/>
                <w:webHidden/>
              </w:rPr>
            </w:r>
            <w:r>
              <w:rPr>
                <w:noProof/>
                <w:webHidden/>
              </w:rPr>
              <w:fldChar w:fldCharType="separate"/>
            </w:r>
            <w:r>
              <w:rPr>
                <w:noProof/>
                <w:webHidden/>
              </w:rPr>
              <w:t>20</w:t>
            </w:r>
            <w:r>
              <w:rPr>
                <w:noProof/>
                <w:webHidden/>
              </w:rPr>
              <w:fldChar w:fldCharType="end"/>
            </w:r>
          </w:hyperlink>
        </w:p>
        <w:p w14:paraId="7A89C6F7" w14:textId="4834491E" w:rsidR="00F32F8A" w:rsidRPr="008C55B5" w:rsidRDefault="00F32F8A">
          <w:r w:rsidRPr="008C55B5">
            <w:rPr>
              <w:b/>
              <w:bCs/>
              <w:noProof/>
            </w:rPr>
            <w:fldChar w:fldCharType="end"/>
          </w:r>
        </w:p>
      </w:sdtContent>
    </w:sdt>
    <w:p w14:paraId="4C918822" w14:textId="77777777" w:rsidR="00F32F8A" w:rsidRPr="008C55B5" w:rsidRDefault="00F32F8A">
      <w:pPr>
        <w:rPr>
          <w:b/>
          <w:bCs/>
          <w:lang w:val="en-GB"/>
        </w:rPr>
      </w:pPr>
      <w:r w:rsidRPr="008C55B5">
        <w:rPr>
          <w:b/>
          <w:bCs/>
          <w:lang w:val="en-GB"/>
        </w:rPr>
        <w:br w:type="page"/>
      </w:r>
    </w:p>
    <w:p w14:paraId="6E533963" w14:textId="0B90C991" w:rsidR="00A14CCD" w:rsidRPr="00552636" w:rsidRDefault="00000000" w:rsidP="00F9196A">
      <w:pPr>
        <w:pStyle w:val="Heading1"/>
        <w:spacing w:before="240" w:after="240" w:line="360" w:lineRule="auto"/>
        <w:jc w:val="both"/>
        <w:rPr>
          <w:rFonts w:asciiTheme="majorBidi" w:hAnsiTheme="majorBidi" w:cstheme="majorBidi"/>
          <w:b/>
          <w:bCs/>
          <w:color w:val="auto"/>
          <w:sz w:val="24"/>
          <w:szCs w:val="24"/>
          <w:lang w:val="en-GB"/>
        </w:rPr>
      </w:pPr>
      <w:bookmarkStart w:id="0" w:name="_Toc239877043"/>
      <w:r w:rsidRPr="00552636">
        <w:rPr>
          <w:rFonts w:asciiTheme="majorBidi" w:hAnsiTheme="majorBidi" w:cstheme="majorBidi"/>
          <w:b/>
          <w:bCs/>
          <w:color w:val="auto"/>
          <w:sz w:val="24"/>
          <w:szCs w:val="24"/>
          <w:lang w:val="en-GB"/>
        </w:rPr>
        <w:lastRenderedPageBreak/>
        <w:t>2.0 Literature Review</w:t>
      </w:r>
      <w:bookmarkEnd w:id="0"/>
    </w:p>
    <w:p w14:paraId="09CD8BB2" w14:textId="77777777" w:rsidR="00A14CCD" w:rsidRPr="00552636" w:rsidRDefault="00000000" w:rsidP="00F9196A">
      <w:pPr>
        <w:pStyle w:val="Heading2"/>
        <w:spacing w:before="300" w:after="160" w:line="360" w:lineRule="auto"/>
        <w:jc w:val="both"/>
        <w:rPr>
          <w:rFonts w:asciiTheme="majorBidi" w:hAnsiTheme="majorBidi" w:cstheme="majorBidi"/>
          <w:color w:val="auto"/>
          <w:sz w:val="24"/>
          <w:szCs w:val="24"/>
          <w:lang w:val="en-GB"/>
        </w:rPr>
      </w:pPr>
      <w:bookmarkStart w:id="1" w:name="_Toc239877044"/>
      <w:r w:rsidRPr="00552636">
        <w:rPr>
          <w:rFonts w:asciiTheme="majorBidi" w:hAnsiTheme="majorBidi" w:cstheme="majorBidi"/>
          <w:b/>
          <w:bCs/>
          <w:color w:val="auto"/>
          <w:sz w:val="24"/>
          <w:szCs w:val="24"/>
          <w:lang w:val="en-GB"/>
        </w:rPr>
        <w:t>2.1 Introduction</w:t>
      </w:r>
      <w:bookmarkEnd w:id="1"/>
    </w:p>
    <w:p w14:paraId="066A4A1F" w14:textId="77777777" w:rsidR="00552636" w:rsidRPr="00552636" w:rsidRDefault="00552636" w:rsidP="00F9196A">
      <w:pPr>
        <w:pStyle w:val="NormalWeb"/>
        <w:spacing w:line="360" w:lineRule="auto"/>
        <w:jc w:val="both"/>
        <w:rPr>
          <w:rFonts w:asciiTheme="majorBidi" w:hAnsiTheme="majorBidi" w:cstheme="majorBidi"/>
          <w:lang w:eastAsia="en-PK"/>
        </w:rPr>
      </w:pPr>
      <w:r w:rsidRPr="00552636">
        <w:rPr>
          <w:rFonts w:asciiTheme="majorBidi" w:hAnsiTheme="majorBidi" w:cstheme="majorBidi"/>
          <w:lang w:eastAsia="en-PK"/>
        </w:rPr>
        <w:t>For the past decade, diabetes risk prediction has witnessed a plethora of technical advances with machine learning (ML)/deep learning (DL), which have led to numerous excellent techniques but limited impact in translation. While in the critical review of all this research, it can be deduced that there is a huge gap between research that talks about highly predictive findings and research that talks about interpretability, contextual validity and integration for use in the real world for deployment. Just a quick sift through all this research reveals a great divide between research that discusses very informative results and means of interpretation and contextual validity and integration for real world use when deployed! An imbalance not just random. It echoes the roots of much of the research on diabetes prediction in which the less lucrative trademarks of contribution are the results of performance measures, such as the areas under the curves (AUCs), sensitivity, F1-scores among others depending on the methodology; and questions that neglect the details of the clinical setting, such as “clinician acceptance”? and “how well will it fit into the workflow??” and, of course, “will it generalise to the target population??” are considered secondary or inconsequential, if not irrelevant (Doshi-Velez and Kim, 2017). This will allow the review to be conducted identifying some general ML/DL research and diabetes applications specifically to Africa, the delivery mechanisms of clinical decision support systems (CDSS), explainable AI as a way to bridge the trust gap in diagnosing diabetes and identify if there is a common ground of evidentiary and methodological gaps in the current field of diabetes diagnostics in Africa that requires exploration of following research question: What neonatal diabetes diagnostic research gap is significant enough to warrant a study of it in Africa with a multidisciplinary approach? One of the major components of the analysis – accuracy vs interpretability – is examined in any one unit of the paper, with others emerging in an ongoing process in the paper. This is no longer study-by-study analysis, but rather a collection of some of the problems faced in each area – namely: accuracy versus interpretability; model transferability across the globe versus model validity in one area; and technical feasibility versus clinical adoptability.</w:t>
      </w:r>
    </w:p>
    <w:p w14:paraId="36AA2AEE" w14:textId="3955D3AD" w:rsidR="00552636" w:rsidRPr="00552636" w:rsidRDefault="00552636" w:rsidP="00F9196A">
      <w:pPr>
        <w:pStyle w:val="NormalWeb"/>
        <w:spacing w:line="360" w:lineRule="auto"/>
        <w:jc w:val="both"/>
        <w:rPr>
          <w:rFonts w:asciiTheme="majorBidi" w:hAnsiTheme="majorBidi" w:cstheme="majorBidi"/>
          <w:lang w:eastAsia="en-PK"/>
        </w:rPr>
      </w:pPr>
      <w:r w:rsidRPr="00552636">
        <w:rPr>
          <w:rFonts w:asciiTheme="majorBidi" w:hAnsiTheme="majorBidi" w:cstheme="majorBidi"/>
          <w:lang w:eastAsia="en-PK"/>
        </w:rPr>
        <w:t xml:space="preserve">Under the surface of this piece of writing lurks another definitional ambiguity but one that needs to be uncovered for the purposes of this technical evidence before it can form the basis of a detailed analysis. In these studies, the word "Diabetes Risk Prediction" corresponds to the </w:t>
      </w:r>
      <w:r w:rsidRPr="00552636">
        <w:rPr>
          <w:rFonts w:asciiTheme="majorBidi" w:hAnsiTheme="majorBidi" w:cstheme="majorBidi"/>
          <w:lang w:eastAsia="en-PK"/>
        </w:rPr>
        <w:lastRenderedPageBreak/>
        <w:t xml:space="preserve">incidence of type 2 diabetes or the addition of diabetes to healthy population as well as the characterisation of undiagnosed diabetes from symptoms and biomarkers (closer to the main studies on the Pima-dataset) and the identification of risk factors for population screening (closer to Adua et al., 2021) The diagnostic criteria thresholds from the American Diabetes Association (2022) applies most to the latter of these two tasks, the </w:t>
      </w:r>
      <w:r w:rsidRPr="00552636">
        <w:rPr>
          <w:rFonts w:asciiTheme="majorBidi" w:hAnsiTheme="majorBidi" w:cstheme="majorBidi"/>
          <w:lang w:eastAsia="en-PK"/>
        </w:rPr>
        <w:t>haemoglobin</w:t>
      </w:r>
      <w:r w:rsidRPr="00552636">
        <w:rPr>
          <w:rFonts w:asciiTheme="majorBidi" w:hAnsiTheme="majorBidi" w:cstheme="majorBidi"/>
          <w:lang w:eastAsia="en-PK"/>
        </w:rPr>
        <w:t xml:space="preserve"> A1c (HbA1C) and oral glucose tolerance test (OGTT), and far less to the former of the two, which would entail a future event, determined within a threshold range, vs. a laboratory confirmable event. The nonanalytical relevance of conflation is the reporting of "diabetes prediction accuracy" which is not always equal to predicting the same clinical event; and, the comparison of accuracy across the </w:t>
      </w:r>
      <w:proofErr w:type="gramStart"/>
      <w:r w:rsidRPr="00552636">
        <w:rPr>
          <w:rFonts w:asciiTheme="majorBidi" w:hAnsiTheme="majorBidi" w:cstheme="majorBidi"/>
          <w:lang w:eastAsia="en-PK"/>
        </w:rPr>
        <w:t>various studies</w:t>
      </w:r>
      <w:proofErr w:type="gramEnd"/>
      <w:r w:rsidRPr="00552636">
        <w:rPr>
          <w:rFonts w:asciiTheme="majorBidi" w:hAnsiTheme="majorBidi" w:cstheme="majorBidi"/>
          <w:lang w:eastAsia="en-PK"/>
        </w:rPr>
        <w:t xml:space="preserve"> reported in the literature can include mixing together the rates for the prediction of different events. The various computations of the accuracy of the current study's model against the benchmark results from the reviewed studies should therefore, explicitly state which out of the three tasks is being measured, because the accuracy obtained would not be valid for the three tasks performed in the prospective risk assessment </w:t>
      </w:r>
      <w:r w:rsidRPr="00552636">
        <w:rPr>
          <w:rFonts w:asciiTheme="majorBidi" w:hAnsiTheme="majorBidi" w:cstheme="majorBidi"/>
          <w:lang w:eastAsia="en-PK"/>
        </w:rPr>
        <w:t>modelling</w:t>
      </w:r>
      <w:r w:rsidRPr="00552636">
        <w:rPr>
          <w:rFonts w:asciiTheme="majorBidi" w:hAnsiTheme="majorBidi" w:cstheme="majorBidi"/>
          <w:lang w:eastAsia="en-PK"/>
        </w:rPr>
        <w:t xml:space="preserve"> done by the CDSS that will be envisioned to be used by the Ghanaian communities.</w:t>
      </w:r>
    </w:p>
    <w:p w14:paraId="77FD359C" w14:textId="77777777" w:rsidR="00A14CCD" w:rsidRPr="00552636" w:rsidRDefault="00000000" w:rsidP="00F9196A">
      <w:pPr>
        <w:pStyle w:val="Heading2"/>
        <w:spacing w:before="300" w:after="160" w:line="360" w:lineRule="auto"/>
        <w:jc w:val="both"/>
        <w:rPr>
          <w:rFonts w:asciiTheme="majorBidi" w:hAnsiTheme="majorBidi" w:cstheme="majorBidi"/>
          <w:color w:val="auto"/>
          <w:sz w:val="24"/>
          <w:szCs w:val="24"/>
          <w:lang w:val="en-GB"/>
        </w:rPr>
      </w:pPr>
      <w:bookmarkStart w:id="2" w:name="_Toc239877045"/>
      <w:r w:rsidRPr="00552636">
        <w:rPr>
          <w:rFonts w:asciiTheme="majorBidi" w:hAnsiTheme="majorBidi" w:cstheme="majorBidi"/>
          <w:b/>
          <w:bCs/>
          <w:color w:val="auto"/>
          <w:sz w:val="24"/>
          <w:szCs w:val="24"/>
          <w:lang w:val="en-GB"/>
        </w:rPr>
        <w:t>2.2 Predictive Performance and Its Limits: A Critical Appraisal of ML/DL Approaches</w:t>
      </w:r>
      <w:bookmarkEnd w:id="2"/>
    </w:p>
    <w:p w14:paraId="68A0DED8" w14:textId="77777777" w:rsidR="00552636" w:rsidRPr="00552636" w:rsidRDefault="00552636" w:rsidP="00F9196A">
      <w:pPr>
        <w:pStyle w:val="NormalWeb"/>
        <w:spacing w:line="360" w:lineRule="auto"/>
        <w:jc w:val="both"/>
        <w:rPr>
          <w:rFonts w:asciiTheme="majorBidi" w:hAnsiTheme="majorBidi" w:cstheme="majorBidi"/>
          <w:lang w:eastAsia="en-PK"/>
        </w:rPr>
      </w:pPr>
      <w:r w:rsidRPr="00552636">
        <w:rPr>
          <w:rFonts w:asciiTheme="majorBidi" w:hAnsiTheme="majorBidi" w:cstheme="majorBidi"/>
          <w:lang w:eastAsia="en-PK"/>
        </w:rPr>
        <w:t xml:space="preserve">The assumption of the proposed transition from classical risk scores to models based on ML is that an algorithm able to model the (non-linear) relationship between risk factors will perform better than algorithms based solely on statistics assuming that the relationship between risk factors is linear. A statement that is claimed to be the case, but might be supported by an empirical study, but usually has not been examined carefully for the requirements that make a statement true or valid. Other studies like Choi et al. 2020 which demonstrated the predictive power of ML models for predicting new onset diabetes in those with cardiovascular risk factors were </w:t>
      </w:r>
      <w:proofErr w:type="gramStart"/>
      <w:r w:rsidRPr="00552636">
        <w:rPr>
          <w:rFonts w:asciiTheme="majorBidi" w:hAnsiTheme="majorBidi" w:cstheme="majorBidi"/>
          <w:lang w:eastAsia="en-PK"/>
        </w:rPr>
        <w:t>carried out</w:t>
      </w:r>
      <w:proofErr w:type="gramEnd"/>
      <w:r w:rsidRPr="00552636">
        <w:rPr>
          <w:rFonts w:asciiTheme="majorBidi" w:hAnsiTheme="majorBidi" w:cstheme="majorBidi"/>
          <w:lang w:eastAsia="en-PK"/>
        </w:rPr>
        <w:t xml:space="preserve"> with a homogeneous group, namely South Koreans, in a clinic where the follow-up tests and procedures were standardised, so that the data was easily retrieved. Typical methodological mistakes are the lack of measuring the accuracy of the prediction for the population/infrastructure the algorithm was trained and validated on (which can differ between each population/infrastructure, and is dependent on the algorithm and the population).</w:t>
      </w:r>
    </w:p>
    <w:p w14:paraId="4B603873" w14:textId="451A2EAB" w:rsidR="008C55B5" w:rsidRPr="00552636" w:rsidRDefault="008C55B5" w:rsidP="00F9196A">
      <w:pPr>
        <w:pStyle w:val="NormalWeb"/>
        <w:spacing w:line="360" w:lineRule="auto"/>
        <w:jc w:val="both"/>
        <w:rPr>
          <w:rFonts w:asciiTheme="majorBidi" w:hAnsiTheme="majorBidi" w:cstheme="majorBidi"/>
        </w:rPr>
      </w:pPr>
      <w:r w:rsidRPr="00552636">
        <w:rPr>
          <w:rFonts w:asciiTheme="majorBidi" w:hAnsiTheme="majorBidi" w:cstheme="majorBidi"/>
          <w:lang w:eastAsia="en-PK"/>
        </w:rPr>
        <w:t xml:space="preserve">Rhee et al. have carried this line further with the development of a deep learning applied to a </w:t>
      </w:r>
      <w:r w:rsidR="00B843A0" w:rsidRPr="00552636">
        <w:rPr>
          <w:rFonts w:asciiTheme="majorBidi" w:hAnsiTheme="majorBidi" w:cstheme="majorBidi"/>
          <w:lang w:eastAsia="en-PK"/>
        </w:rPr>
        <w:t>population-based</w:t>
      </w:r>
      <w:r w:rsidRPr="00552636">
        <w:rPr>
          <w:rFonts w:asciiTheme="majorBidi" w:hAnsiTheme="majorBidi" w:cstheme="majorBidi"/>
          <w:lang w:eastAsia="en-PK"/>
        </w:rPr>
        <w:t xml:space="preserve"> scale of national coverage with the scale (hundreds of thousands of records) addressing some of the generalisability concerns within the nation. Interestingly, even though </w:t>
      </w:r>
      <w:r w:rsidRPr="00552636">
        <w:rPr>
          <w:rFonts w:asciiTheme="majorBidi" w:hAnsiTheme="majorBidi" w:cstheme="majorBidi"/>
          <w:lang w:eastAsia="en-PK"/>
        </w:rPr>
        <w:lastRenderedPageBreak/>
        <w:t>this interpretable model outperforms the classic ML model, the literature is not so careful to quantify the value of interpretability and, at constant dataset size and feature engineering, the gains from using Deep Learning models are often very small, if not insignificant, in the same papers calculating the gains from the use of Deep Learning. There is evidence that ensemble and tree-based classifiers (in particular the random forest variants) are not outperformed on diabetes classification by more complex architectures, including ensemble methods (Muhammad et al., 2020) or an improved ensemble method with no reference to deep architectures (Olorunfemi et al., 2025). Each of the studies reinforces the notion that when it comes to structured relational data like diabetes data (as opposed to imaging or CGM data), adding the additional layer of complexity and obscurity to the prediction becomes less meaningful than the resulting lack of transparency, as per any study that must maintain a balance between complexity and explainability.</w:t>
      </w:r>
    </w:p>
    <w:p w14:paraId="18DA7154" w14:textId="77777777" w:rsidR="008C55B5" w:rsidRPr="00552636" w:rsidRDefault="008C55B5"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Another major concern here is how many times the same benchmark datasets are used, even those of the Pima Indians Diabetes Database are mentioned in about 40 of these studies, in almost the same way with the same train, test split, resampling methods or even hyperparameter settings. Some limitations noted in Masood et al. (2026) systematic review of prediction of diabetes using AI technologies are the method of the review is limited to one ethnic group and geographical region, and the dataset (Pima) is small and outdated. In their scoping review, Mohsen et al. (2023) report that the number of studies examining the use of AI for predicting diabetes is still relatively small, and those that do were not externally validated by other geographically different populations and cohorts, except a few. </w:t>
      </w:r>
      <w:proofErr w:type="gramStart"/>
      <w:r w:rsidRPr="00552636">
        <w:rPr>
          <w:rFonts w:asciiTheme="majorBidi" w:hAnsiTheme="majorBidi" w:cstheme="majorBidi"/>
          <w:lang w:val="en-GB"/>
        </w:rPr>
        <w:t>Lacking the complete coverage of the African specific literature, it</w:t>
      </w:r>
      <w:proofErr w:type="gramEnd"/>
      <w:r w:rsidRPr="00552636">
        <w:rPr>
          <w:rFonts w:asciiTheme="majorBidi" w:hAnsiTheme="majorBidi" w:cstheme="majorBidi"/>
          <w:lang w:val="en-GB"/>
        </w:rPr>
        <w:t xml:space="preserve"> is also problematic from this standpoint that this African specific literature is also not reported externally to validate the claims of "high accuracy" would not have been possible to extrapolate this from the general ML/DL literature.</w:t>
      </w:r>
    </w:p>
    <w:p w14:paraId="0F3A5B0A" w14:textId="77777777" w:rsidR="008C55B5" w:rsidRPr="00552636" w:rsidRDefault="008C55B5"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This criticism is better lit in the context of the larger body of deep learning research in healthcare medicine. As other recent papers involved in deep learning research highlight when discussing EHR-based deep learning in general (Miotto et al., 2018; Shickel et al., 2018), there is a sort of structural tension that arises throughout the literature on diabetes prediction based on EHRs: complex architectures such as recurrent neural networks, autoencoders, or attention-based models outperform simple networks only when the largest and best-curated datasets are used; in the diabetes-prediction literature cited above, every study is based on a dataset which is several orders of magnitude smaller than the ones used in other literature on deep learning </w:t>
      </w:r>
      <w:r w:rsidRPr="00552636">
        <w:rPr>
          <w:rFonts w:asciiTheme="majorBidi" w:hAnsiTheme="majorBidi" w:cstheme="majorBidi"/>
          <w:lang w:val="en-GB"/>
        </w:rPr>
        <w:lastRenderedPageBreak/>
        <w:t xml:space="preserve">with EHRs. In their larger review of machine learning in medicine, Rajkomar, Dean and Kohane (2019) arrive at an equivalent conclusion, warning that the benefits of deep learning are greatest, it turns out, for processing unstructured data (imaging, free text, waveform signals) and less for what they consider a more mundane role, such as structured, tabular clinical data like what is used for diabetes risk prediction. The slight to insignificant performance gains relative to ensemble based methods as reported from the DSM literature (excluding it, at any rate, were those results from Rhee et al. 2021) are not atypical compared to the more typical pattern: the comparative advantage of deep learning over other approaches in medicine is situational, not a general one; and the diabetes-prediction literature has arguably as yet failed to justify the use of deep learning where it actually might be needed in this data regime. This mirrors, albeit from </w:t>
      </w:r>
      <w:proofErr w:type="gramStart"/>
      <w:r w:rsidRPr="00552636">
        <w:rPr>
          <w:rFonts w:asciiTheme="majorBidi" w:hAnsiTheme="majorBidi" w:cstheme="majorBidi"/>
          <w:lang w:val="en-GB"/>
        </w:rPr>
        <w:t>a different perspective</w:t>
      </w:r>
      <w:proofErr w:type="gramEnd"/>
      <w:r w:rsidRPr="00552636">
        <w:rPr>
          <w:rFonts w:asciiTheme="majorBidi" w:hAnsiTheme="majorBidi" w:cstheme="majorBidi"/>
          <w:lang w:val="en-GB"/>
        </w:rPr>
        <w:t>, the argument for using an ensemble of interpretable models over deep models when working with scarce resources in Ghana.</w:t>
      </w:r>
    </w:p>
    <w:p w14:paraId="4CC358F6" w14:textId="20812C94" w:rsidR="008C55B5" w:rsidRPr="00552636" w:rsidRDefault="008C55B5"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Another relative one is the 'operationlisation' of the concept 'accuracy' in this literature. Moreover, many of the studies that Mohsen et al. (2023) and Masood et al. (2026) compiled either reported accuracy of the overall model, or reported AUC accuracy without mention of class imbalance issues of the underlying training data, and a model with a large number of diabetic cases compared with non-diabetic cases will show a superficially good rate of overall accuracy without doing much about the class imbalance. A benefit of the corrected imbalance by re-sampling (e.g., SMOTE, as in several of the diabetes studies reported here, in section 2.5), is that sensitivity and precision is generally enhanced at the majority class, with the caveats that the synthetic minority samples are samples of the training distribution, and a further reduction in the number of samples from that distribution can impact the transferability to the test distribution. Generally, most of the literature on ML/DL does not report if such imbalance-correcting procedure was applied or not: hence it is not easy to compare/contrast the level of accuracy claim(s) reported here amongst papers as well as take the accuracy claims from this literature to a possible implementation in Ghana.</w:t>
      </w:r>
    </w:p>
    <w:p w14:paraId="12250124" w14:textId="60658970" w:rsidR="00552636" w:rsidRPr="00552636" w:rsidRDefault="00552636"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Another caveat, which is fairly pervasive in the vast bulk of the general literature on ML/DL, concerns the omission of the consideration of </w:t>
      </w:r>
      <w:proofErr w:type="gramStart"/>
      <w:r w:rsidRPr="00552636">
        <w:rPr>
          <w:rFonts w:asciiTheme="majorBidi" w:hAnsiTheme="majorBidi" w:cstheme="majorBidi"/>
          <w:lang w:val="en-GB"/>
        </w:rPr>
        <w:t>different types</w:t>
      </w:r>
      <w:proofErr w:type="gramEnd"/>
      <w:r w:rsidRPr="00552636">
        <w:rPr>
          <w:rFonts w:asciiTheme="majorBidi" w:hAnsiTheme="majorBidi" w:cstheme="majorBidi"/>
          <w:lang w:val="en-GB"/>
        </w:rPr>
        <w:t xml:space="preserve"> of measures of its performance, such as the accuracy of the discrimination metrics, namely AUC, sensitivity and specificity, as opposed to calibration. Strong discrimination (correctly rank ordering patients by risk) but poor calibration (over- or under-estimating absolute risk) are important — and clinically relevant differences — for a clinical decision support tool because a clinician or patient would likely be thinking of the absolute risk value as more of a probability statement than merely a ranking. </w:t>
      </w:r>
      <w:r w:rsidRPr="00552636">
        <w:rPr>
          <w:rFonts w:asciiTheme="majorBidi" w:hAnsiTheme="majorBidi" w:cstheme="majorBidi"/>
          <w:lang w:val="en-GB"/>
        </w:rPr>
        <w:lastRenderedPageBreak/>
        <w:t xml:space="preserve">All the studies collected by Mohsen et al., (2023) and Masood et al., (2026) in their respective review of this work do not report on calibration plots nor calibration statistics such as the Brier score, and none of the diabetes specific studies discussed elsewhere in this chapter (Choi et al., 2020; Rhee et al., 2021; Muhammad, Algehyne and Usman, 2020) explicitly report on calibration. Higher number of candidates handcuffed to improve the precision of a model's absolute risk </w:t>
      </w:r>
      <w:r w:rsidRPr="00552636">
        <w:rPr>
          <w:rFonts w:asciiTheme="majorBidi" w:hAnsiTheme="majorBidi" w:cstheme="majorBidi"/>
          <w:lang w:val="en-GB"/>
        </w:rPr>
        <w:t>estimate. More</w:t>
      </w:r>
      <w:r w:rsidRPr="00552636">
        <w:rPr>
          <w:rFonts w:asciiTheme="majorBidi" w:hAnsiTheme="majorBidi" w:cstheme="majorBidi"/>
          <w:lang w:val="en-GB"/>
        </w:rPr>
        <w:t xml:space="preserve"> candidates handcuffed to improve the precision of a model's absolute risk estimate, which is amplified as opposed to limited by adding explainability – a well-explained but poorly calibrated absolute risk estimate may look more trustworthy than an unexplained absolute estimate and can cause a clinician to become more handcuffed for the absolute risk. This is exacerbated by the reporting of reports on which full performances were calibrated reported by few studies and by not reporting the trained model weights or full hyperparameters such that adoption of a reported performance goes much further than being replicable with an independent set of trained model weights. The field's evidence base, therefore, grows much less thick when the reproducibility concerns that Massoud et al. (2026) raise are accounted for. The slightly lacking presentation of strengths in the calibration reports and the ambiguity of what they could really achieve regarding reproducibility suggests that a headline accuracy figure based on this literature should rather be considered as a crude upper limit of what would be possible in an implementation in Ghana – and not a definite figure to be beaten.</w:t>
      </w:r>
    </w:p>
    <w:p w14:paraId="152267FC" w14:textId="77777777" w:rsidR="00A14CCD" w:rsidRPr="00552636" w:rsidRDefault="00000000" w:rsidP="00F9196A">
      <w:pPr>
        <w:pStyle w:val="Heading2"/>
        <w:spacing w:before="300" w:after="160" w:line="360" w:lineRule="auto"/>
        <w:jc w:val="both"/>
        <w:rPr>
          <w:rFonts w:asciiTheme="majorBidi" w:hAnsiTheme="majorBidi" w:cstheme="majorBidi"/>
          <w:color w:val="auto"/>
          <w:sz w:val="24"/>
          <w:szCs w:val="24"/>
          <w:lang w:val="en-GB"/>
        </w:rPr>
      </w:pPr>
      <w:bookmarkStart w:id="3" w:name="_Toc239877046"/>
      <w:r w:rsidRPr="00552636">
        <w:rPr>
          <w:rFonts w:asciiTheme="majorBidi" w:hAnsiTheme="majorBidi" w:cstheme="majorBidi"/>
          <w:b/>
          <w:bCs/>
          <w:color w:val="auto"/>
          <w:sz w:val="24"/>
          <w:szCs w:val="24"/>
          <w:lang w:val="en-GB"/>
        </w:rPr>
        <w:t>2.3 African and Ghanaian Evidence: Feasibility Without Sufficiency</w:t>
      </w:r>
      <w:bookmarkEnd w:id="3"/>
    </w:p>
    <w:p w14:paraId="13E96996" w14:textId="3769DC3E" w:rsidR="008C55B5" w:rsidRPr="00552636" w:rsidRDefault="008C55B5"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The use of ML in the prediction of diabetes in Ghana or any part of Africa has been reported in the literature to be technically achievable but not technically strong and/or </w:t>
      </w:r>
      <w:r w:rsidR="00552636" w:rsidRPr="00552636">
        <w:rPr>
          <w:rFonts w:asciiTheme="majorBidi" w:hAnsiTheme="majorBidi" w:cstheme="majorBidi"/>
          <w:lang w:val="en-GB"/>
        </w:rPr>
        <w:t>clinically ready</w:t>
      </w:r>
      <w:r w:rsidRPr="00552636">
        <w:rPr>
          <w:rFonts w:asciiTheme="majorBidi" w:hAnsiTheme="majorBidi" w:cstheme="majorBidi"/>
          <w:lang w:val="en-GB"/>
        </w:rPr>
        <w:t xml:space="preserve">. Among the few contributions from Ghana, the study done by Adua et al. (2021) was done to be “methodologically careful” and illustrates this; in this study they used feature-importance analysis to operate on predictions for early-stage type II diabetes in Ghana, an implicit but earlier literature (than the subsequent explicit XAI literature) on interpretability of which this was a part. The generalisability of its findings is however limited to the population called for by the prevalence statistics from the research proposal that were based on the national population (International Diabetes Federation, 2021) and the sample size as well as the single site design of this study. From another angle, Adda (2025) offers some corrections by studying classifiers for balanced data in several international African sites but concerns itself with the algorithmic measurement of the quality of the classification itself, rather than with the problems </w:t>
      </w:r>
      <w:r w:rsidRPr="00552636">
        <w:rPr>
          <w:rFonts w:asciiTheme="majorBidi" w:hAnsiTheme="majorBidi" w:cstheme="majorBidi"/>
          <w:lang w:val="en-GB"/>
        </w:rPr>
        <w:lastRenderedPageBreak/>
        <w:t>of explainability or the ways in which the algorithm might enter into clinical practice, as is examined in this study.</w:t>
      </w:r>
    </w:p>
    <w:p w14:paraId="7C845896" w14:textId="77777777" w:rsidR="008C55B5" w:rsidRPr="00552636" w:rsidRDefault="008C55B5"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This Epidemiological literature can be useful in giving the big picture of the burden of diabetes in Ghana (Gatimu, Et al., 2016) and in South Africa (Grundlingh, et al., 2022) and drawing a picture of potential prevalence figures and diabetes risk factors but cannot directly inform predictive modelling. However, critically reading these prevalence studies with the ML literature clearly shows that any epidemiological studies listed the sets of risk factors that are relevant/important to Africa, while the predictive modelling studies were based on sets of risk factors previously investigated in western clinical studies and contexts and not necessarily the epidemiology evidence base. A disconnect is important because it could signal that machine learning models based on the imported features will not be well-defined for the true risk architecture of African patients.</w:t>
      </w:r>
    </w:p>
    <w:p w14:paraId="1683A05F"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This critique is picked up and “twisted” in later works of the collection. Indeed, the view that the overall research activity and output in this region has increased has been replicated in the systematic review by Ukoba et al. (2025) papers from different parts of Nigeria showed that the geographical and methodological distribution of papers is not even and many papers did not give sufficient assessment of the performance of the area despite few prospective or external data tests. In a cross-sectional study in Nigeria, the authors Dada, Birma and Gora (2024) show the strengths and limitations of the literature, namely need for good classification accuracy from a localised data set but are not able to explain lifestyle parameters (diet, physical activities), that they concede vary considerably between different regions of the country. This is typical of the trend in African research, where studies on </w:t>
      </w:r>
      <w:proofErr w:type="gramStart"/>
      <w:r w:rsidRPr="00552636">
        <w:rPr>
          <w:rFonts w:asciiTheme="majorBidi" w:hAnsiTheme="majorBidi" w:cstheme="majorBidi"/>
          <w:lang w:val="en-GB"/>
        </w:rPr>
        <w:t>a single location</w:t>
      </w:r>
      <w:proofErr w:type="gramEnd"/>
      <w:r w:rsidRPr="00552636">
        <w:rPr>
          <w:rFonts w:asciiTheme="majorBidi" w:hAnsiTheme="majorBidi" w:cstheme="majorBidi"/>
          <w:lang w:val="en-GB"/>
        </w:rPr>
        <w:t xml:space="preserve"> can easily be examples of models optimised locally and so may not be applicable elsewhere, such as Ghana.</w:t>
      </w:r>
    </w:p>
    <w:p w14:paraId="52AC1ED3" w14:textId="6A60E340"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The area covers even prediction of comorbidities with Anteneh et al. (2025) based on a huge national database of cardiac disease with gradient boosting and other algorithms people with diabetes in Ethiopia (n&gt; 9000 samples). The methodologic power of the study – the number of samples – was higher than in other single-clinic studies, but, like the aforementioned deep learning study of trends in diabetes burden in Ethiopia by Kelkay et al. (2026), it was limited to population-level forecasting or to assessing the risk of comorbidities rather than to clinician-facing decision support at the individual level as described in this study. In some </w:t>
      </w:r>
      <w:r w:rsidR="00B843A0" w:rsidRPr="00552636">
        <w:rPr>
          <w:rFonts w:asciiTheme="majorBidi" w:hAnsiTheme="majorBidi" w:cstheme="majorBidi"/>
          <w:lang w:val="en-GB"/>
        </w:rPr>
        <w:t>studies,</w:t>
      </w:r>
      <w:r w:rsidRPr="00552636">
        <w:rPr>
          <w:rFonts w:asciiTheme="majorBidi" w:hAnsiTheme="majorBidi" w:cstheme="majorBidi"/>
          <w:lang w:val="en-GB"/>
        </w:rPr>
        <w:t xml:space="preserve"> in this lit review, the deployment of ability is an assumption from the beginning of the model </w:t>
      </w:r>
      <w:r w:rsidRPr="00552636">
        <w:rPr>
          <w:rFonts w:asciiTheme="majorBidi" w:hAnsiTheme="majorBidi" w:cstheme="majorBidi"/>
          <w:lang w:val="en-GB"/>
        </w:rPr>
        <w:lastRenderedPageBreak/>
        <w:t>development process; in the other lit review, the designers of a Ghana based CDSS explicitly conceptualise deploy ability (i.e. an edge-based low resource deployment).</w:t>
      </w:r>
    </w:p>
    <w:p w14:paraId="302754FA"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One other new aspect observed in the regional literature is that there was an explicit focus on data quality, rather than data quality issues. Being based on actual local data, which is the advantage over the studies only involving imported and (benchmark) data, is a methodological strength also, but data size, styles of recording health services, and the completeness of health records is also limited, only reporting, and sensitivity analysis is hardly used to highlight the limitations as one might see in high-resource settings. This is clearly identified by Ukoba et al. (2025) as a weakness in the Nigerian evidence base, as few studies that they reviewed included data completeness nor did they undertake external validation with another site. This is a major gap because the relatively positive evidence of a local feasibility, offered above, is only as yet considered </w:t>
      </w:r>
      <w:proofErr w:type="gramStart"/>
      <w:r w:rsidRPr="00552636">
        <w:rPr>
          <w:rFonts w:asciiTheme="majorBidi" w:hAnsiTheme="majorBidi" w:cstheme="majorBidi"/>
          <w:lang w:val="en-GB"/>
        </w:rPr>
        <w:t>reliable</w:t>
      </w:r>
      <w:proofErr w:type="gramEnd"/>
      <w:r w:rsidRPr="00552636">
        <w:rPr>
          <w:rFonts w:asciiTheme="majorBidi" w:hAnsiTheme="majorBidi" w:cstheme="majorBidi"/>
          <w:lang w:val="en-GB"/>
        </w:rPr>
        <w:t xml:space="preserve"> both within the sample of sites within one country, and within this study's national level of evidence. It also implies that if a Ghanaian CDSS is to be developed based on this set of literature, it is necessary to provide evidence of data quality auditing and – if possible – a single-source data with multiple-site validation to form the basis for a soundly-based CDSS to be deployed in Ghana, versus relying on the single-source data to support CDSS development.</w:t>
      </w:r>
    </w:p>
    <w:p w14:paraId="6FF3C9DE"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Another related issue is the fact that most reviewed African studies are based on the clinic sampling strategy making them vulnerable to selection bias. Adua et al. (2021) sampled from patients already attending a specific clinical facility, as do Dada, Birma and Gora (2024) and Ooko and Oginga (2025); it is likely that at-risk individuals in rural/peri-urban Ghana who do not make regular use of, nor have confidence in, formal health care providers will not be included in the training sets of these studies. If the model is going to be used as a screening tool for undiagnosed at-risk people, this is a key restricting element as </w:t>
      </w:r>
      <w:proofErr w:type="gramStart"/>
      <w:r w:rsidRPr="00552636">
        <w:rPr>
          <w:rFonts w:asciiTheme="majorBidi" w:hAnsiTheme="majorBidi" w:cstheme="majorBidi"/>
          <w:lang w:val="en-GB"/>
        </w:rPr>
        <w:t>a large portion</w:t>
      </w:r>
      <w:proofErr w:type="gramEnd"/>
      <w:r w:rsidRPr="00552636">
        <w:rPr>
          <w:rFonts w:asciiTheme="majorBidi" w:hAnsiTheme="majorBidi" w:cstheme="majorBidi"/>
          <w:lang w:val="en-GB"/>
        </w:rPr>
        <w:t xml:space="preserve"> of the population which most needed early screening is the population with the least representation in the data to be used for creating the detection model. In analysing this selection process no reviewed African study explicitly discussed or tried to characterize this process that may lead to biased model predictions when applied to more extensive populations than those it was trained with, which further renowned the citing of local feasibility evidence as evidence for population-representative validity.</w:t>
      </w:r>
    </w:p>
    <w:p w14:paraId="76943BB0"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Another challenge when making a cumulative interpretation of the comparative evidence speaking to how well these models perform across the African studies is the variability in </w:t>
      </w:r>
      <w:r w:rsidRPr="00552636">
        <w:rPr>
          <w:rFonts w:asciiTheme="majorBidi" w:hAnsiTheme="majorBidi" w:cstheme="majorBidi"/>
          <w:lang w:val="en-GB"/>
        </w:rPr>
        <w:lastRenderedPageBreak/>
        <w:t xml:space="preserve">reporting across studies. However, some of the studies in Nigeria only report accuracy, while others report the AUC or F1 score, or multiple accuracy, AUC, and F1 scores without noting which score was used for model training, highlighting the lack of standardisation among these types of studies, which Ukoba et al. (2025) identified as a widespread challenge of the AI-diabetes literature overall, but especially among the African subset of studies reviewed here. The consequence of this is practical for this study: for the moment, having no definitive "best" algorithm family to be sure as optimal in Ghanaian/West African diabetes data on the basis of the literature already available, because of apparent differences in performance across the studies could depend as much on differences in evaluation metrics as in differences in model quality. </w:t>
      </w:r>
      <w:proofErr w:type="gramStart"/>
      <w:r w:rsidRPr="00552636">
        <w:rPr>
          <w:rFonts w:asciiTheme="majorBidi" w:hAnsiTheme="majorBidi" w:cstheme="majorBidi"/>
          <w:lang w:val="en-GB"/>
        </w:rPr>
        <w:t>That's</w:t>
      </w:r>
      <w:proofErr w:type="gramEnd"/>
      <w:r w:rsidRPr="00552636">
        <w:rPr>
          <w:rFonts w:asciiTheme="majorBidi" w:hAnsiTheme="majorBidi" w:cstheme="majorBidi"/>
          <w:lang w:val="en-GB"/>
        </w:rPr>
        <w:t xml:space="preserve"> exactly why </w:t>
      </w:r>
      <w:proofErr w:type="gramStart"/>
      <w:r w:rsidRPr="00552636">
        <w:rPr>
          <w:rFonts w:asciiTheme="majorBidi" w:hAnsiTheme="majorBidi" w:cstheme="majorBidi"/>
          <w:lang w:val="en-GB"/>
        </w:rPr>
        <w:t>it's</w:t>
      </w:r>
      <w:proofErr w:type="gramEnd"/>
      <w:r w:rsidRPr="00552636">
        <w:rPr>
          <w:rFonts w:asciiTheme="majorBidi" w:hAnsiTheme="majorBidi" w:cstheme="majorBidi"/>
          <w:lang w:val="en-GB"/>
        </w:rPr>
        <w:t xml:space="preserve"> a good thing that there was a comparative study to compare/contrast the algorithms rather than just taking one algorithm on the word of its headline success figure, based on a single study conducted in Africa prior to this study.</w:t>
      </w:r>
    </w:p>
    <w:p w14:paraId="58A3CF77" w14:textId="2FC2BA76" w:rsidR="008C55B5"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Together, the two sets of lost literature shown from Africa and Ghana make two basic points that lend themselves to this study: firstly, mobility is critical to the field of information literacy and second, it is important to computer room experience. It is worth pointing out that based on data and infrastructure available in region, the feasibility of application of ML techniques by leveraging locally available data has already been demonstrated and contrasted with assumption that this hinders AI-based diabetes prediction in region (Adua et al., 2021; Dada, Birma and Gora, 2024). Second, and most importantly, reviewed African studies are not sufficiency evidence for type of explainable CDSS, for which present research argues for, but are feasibility evidence.</w:t>
      </w:r>
    </w:p>
    <w:p w14:paraId="616FE9B1" w14:textId="182D57DD" w:rsidR="00552636" w:rsidRPr="00552636" w:rsidRDefault="00552636"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The epidemiological transition that is currently taking place in sub-Saharan countries makes it hard to translate the risks facts of one African context to another, such as South Africa to Ghana. Urbanisation, dietary shift towards processed foods and comparatively high rates of obesity play significant roles in the South African risk profile, documented by Grundlingh et al. (2022), and there is a fair deal of variation between sub-regions of Africa as to whether these "transitional" risk factors have outweighed more traditional dietary, metabolic and infectious-disease risk factors, as</w:t>
      </w:r>
      <w:r>
        <w:rPr>
          <w:rFonts w:asciiTheme="majorBidi" w:hAnsiTheme="majorBidi" w:cstheme="majorBidi"/>
          <w:lang w:val="en-GB"/>
        </w:rPr>
        <w:t xml:space="preserve"> </w:t>
      </w:r>
      <w:r w:rsidRPr="00552636">
        <w:rPr>
          <w:rFonts w:asciiTheme="majorBidi" w:hAnsiTheme="majorBidi" w:cstheme="majorBidi"/>
          <w:lang w:val="en-GB"/>
        </w:rPr>
        <w:t xml:space="preserve">within the context of the International Diabetes Federation (2021). Specific to older people in Ghana, Gatimu, Milimo and Sebastian (2016) argue that there is an age-related and cardiovascular comorbidities pathway but that is not as prominent as it is in the South African literature where obesity plays a much more </w:t>
      </w:r>
      <w:r w:rsidRPr="00552636">
        <w:rPr>
          <w:rFonts w:asciiTheme="majorBidi" w:hAnsiTheme="majorBidi" w:cstheme="majorBidi"/>
          <w:lang w:val="en-GB"/>
        </w:rPr>
        <w:t>significant role</w:t>
      </w:r>
      <w:r w:rsidRPr="00552636">
        <w:rPr>
          <w:rFonts w:asciiTheme="majorBidi" w:hAnsiTheme="majorBidi" w:cstheme="majorBidi"/>
          <w:lang w:val="en-GB"/>
        </w:rPr>
        <w:t xml:space="preserve">. This diversity in the African contexts calls into question any risk-factor set or feature specification which is validated in one country in Africa and assumed to apply without local calibration to another </w:t>
      </w:r>
      <w:r w:rsidRPr="00552636">
        <w:rPr>
          <w:rFonts w:asciiTheme="majorBidi" w:hAnsiTheme="majorBidi" w:cstheme="majorBidi"/>
          <w:lang w:val="en-GB"/>
        </w:rPr>
        <w:lastRenderedPageBreak/>
        <w:t>country, thus improving on the previous point that Ghanaian models should be based on epidemiology unique to Ghana, rather than regional African epidemiology assumed to be a homogeneous entity. It also brings up an additional question, which is not considered in the reviewed predictive modelling literature: is a single national model suitable, when it is likely that urban and rural Ghanaian populations lie on a continuum of this same epidemiological transition (entailing a sub-population specific calibration of the model rather than a single predictor for an undifferentiated national population). This worry is far from abstract; if the risk architecture of diabetes incidence across urban and rural settings truly differs, a global model that performs well on average may more or less accurately estimate risk for a less well-represented group of patients (urban or rural) in the training cohort.</w:t>
      </w:r>
    </w:p>
    <w:p w14:paraId="34204FC2" w14:textId="77777777" w:rsidR="00A14CCD" w:rsidRPr="00552636" w:rsidRDefault="00000000" w:rsidP="00F9196A">
      <w:pPr>
        <w:pStyle w:val="Heading2"/>
        <w:spacing w:before="300" w:after="160" w:line="360" w:lineRule="auto"/>
        <w:jc w:val="both"/>
        <w:rPr>
          <w:rFonts w:asciiTheme="majorBidi" w:hAnsiTheme="majorBidi" w:cstheme="majorBidi"/>
          <w:color w:val="auto"/>
          <w:sz w:val="24"/>
          <w:szCs w:val="24"/>
          <w:lang w:val="en-GB"/>
        </w:rPr>
      </w:pPr>
      <w:bookmarkStart w:id="4" w:name="_Toc239877047"/>
      <w:r w:rsidRPr="00552636">
        <w:rPr>
          <w:rFonts w:asciiTheme="majorBidi" w:hAnsiTheme="majorBidi" w:cstheme="majorBidi"/>
          <w:b/>
          <w:bCs/>
          <w:color w:val="auto"/>
          <w:sz w:val="24"/>
          <w:szCs w:val="24"/>
          <w:lang w:val="en-GB"/>
        </w:rPr>
        <w:t>2.4 Clinical Decision Support Systems: Evidence of Benefit, Evidence of Difficulty</w:t>
      </w:r>
      <w:bookmarkEnd w:id="4"/>
    </w:p>
    <w:p w14:paraId="14A68ABA"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On the other hand, CDSS literature also facilitates a different, but complementary, critical perspective since it is accurate but does not always become useable clinical tools. In its groundbreaking paper on the 'State of the Art' in CDSS, Berner (2009) highlighted some requirements, which are relevant across different CDSS systems and remain constant over time: timeliness, integration of the CDSS system within clinical processes, and output of knowledge that might be useful to patients. The overall systematic evidence of the effectiveness is positive with some mixed evidence among the CDSSs. In a widely cited greater-than-comprehensive systematic review, Kawamoto et al (2005) found certain design attributes, such as automatically prompting at the point of care, linking to workflow, or offering a recommendation instead of just an assessment, to be crucial to the ability of CDSS to enhance the practice. In Garg et al. 2005, the majority of studies assessed were found to yield a positive increase in practitioner skill levels, but very few studies showed improvement in patient skill levels, this is a key difference with the present study which requires that the study is based on patient-outcome pathways, instead of accuracy of the practitioner.</w:t>
      </w:r>
    </w:p>
    <w:p w14:paraId="5424BCEA" w14:textId="351DEC1E" w:rsidR="008A647A" w:rsidRPr="00552636" w:rsidRDefault="00552636"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So,</w:t>
      </w:r>
      <w:r w:rsidR="008A647A" w:rsidRPr="00552636">
        <w:rPr>
          <w:rFonts w:asciiTheme="majorBidi" w:hAnsiTheme="majorBidi" w:cstheme="majorBidi"/>
          <w:lang w:val="en-GB"/>
        </w:rPr>
        <w:t xml:space="preserve"> there is a critical tension when one looks at this older group of literature on CDSS and the newer group of literature focusing on the field of AI. Wright et al (2009) also pointed out a great deal of disparity in the level of sophistication of information systems used in the commercial market, and how the most sophisticated environment for information systems in health IT has failed to translate to </w:t>
      </w:r>
      <w:r w:rsidRPr="00552636">
        <w:rPr>
          <w:rFonts w:asciiTheme="majorBidi" w:hAnsiTheme="majorBidi" w:cstheme="majorBidi"/>
          <w:lang w:val="en-GB"/>
        </w:rPr>
        <w:t>an elevated level</w:t>
      </w:r>
      <w:r w:rsidR="008A647A" w:rsidRPr="00552636">
        <w:rPr>
          <w:rFonts w:asciiTheme="majorBidi" w:hAnsiTheme="majorBidi" w:cstheme="majorBidi"/>
          <w:lang w:val="en-GB"/>
        </w:rPr>
        <w:t xml:space="preserve"> of sophistication for CDSS. Recently, Sutton et al. (2020) outline additional risks for the use of CDSS: alert fatigue, automation bias, and reduced clinical reasoning abilities, risks that are something Sutton barely attributes to but </w:t>
      </w:r>
      <w:r w:rsidR="008A647A" w:rsidRPr="00552636">
        <w:rPr>
          <w:rFonts w:asciiTheme="majorBidi" w:hAnsiTheme="majorBidi" w:cstheme="majorBidi"/>
          <w:lang w:val="en-GB"/>
        </w:rPr>
        <w:lastRenderedPageBreak/>
        <w:t>are likely worsened with the incorporation of “</w:t>
      </w:r>
      <w:r w:rsidR="00B843A0" w:rsidRPr="00552636">
        <w:rPr>
          <w:rFonts w:asciiTheme="majorBidi" w:hAnsiTheme="majorBidi" w:cstheme="majorBidi"/>
          <w:lang w:val="en-GB"/>
        </w:rPr>
        <w:t>black box</w:t>
      </w:r>
      <w:r w:rsidR="008A647A" w:rsidRPr="00552636">
        <w:rPr>
          <w:rFonts w:asciiTheme="majorBidi" w:hAnsiTheme="majorBidi" w:cstheme="majorBidi"/>
          <w:lang w:val="en-GB"/>
        </w:rPr>
        <w:t xml:space="preserve">” AI models into the pipeline used by CDSSs. This means that what should be learned from the CDSS literature for the current investigation is not that AI can solve old CDSS problems but that AI can create </w:t>
      </w:r>
      <w:r w:rsidRPr="00552636">
        <w:rPr>
          <w:rFonts w:asciiTheme="majorBidi" w:hAnsiTheme="majorBidi" w:cstheme="majorBidi"/>
          <w:lang w:val="en-GB"/>
        </w:rPr>
        <w:t>recent problems</w:t>
      </w:r>
      <w:r w:rsidR="008A647A" w:rsidRPr="00552636">
        <w:rPr>
          <w:rFonts w:asciiTheme="majorBidi" w:hAnsiTheme="majorBidi" w:cstheme="majorBidi"/>
          <w:lang w:val="en-GB"/>
        </w:rPr>
        <w:t xml:space="preserve"> if the concern for interpretability is not infused at the outset – which was mentioned as a motivation in the research proposal.</w:t>
      </w:r>
    </w:p>
    <w:p w14:paraId="20703174" w14:textId="347D5D8B"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The diabetes-specific literature provides some examples of a compounding risk that can be addressed. Different from the methods intended to explain as a post-hoc analytical task, Du et al. (2022) embedded the explainability task, SHAP Explainability, directly to the decision support system output and aimed to create explainable ML-based CDSS for the prediction of gestational diabetes. Several aspects render the work done in the present research as a contribution to the methodological debate in the field of CDSS: firstly, it investigates the contents of technical integration, making predictive modelling and explanation generation two different research issues that are treated in a single system; and, secondly, the integrated system is developed and tested under actual teaching conditions. The developed validated system presented by Du et al. has been applied in a high income, well-developed healthcare context in which access to healthcare is less restricted by the factors described in Section 2.3, namely lower income and less mature digital infrastructures of the provider and the rest of the CQ system; its generalizability to a healthcare context of primary or secondary care where seeking care is more limited by these lower income and underdeveloped factors is unknown. The absence of validating the sensitisation of the explainable CDSS in a resource-poor environment of Africa has been one of the most obvious reasons why there is a need to add to the body of work of the present study. Another </w:t>
      </w:r>
      <w:r w:rsidR="00552636" w:rsidRPr="00552636">
        <w:rPr>
          <w:rFonts w:asciiTheme="majorBidi" w:hAnsiTheme="majorBidi" w:cstheme="majorBidi"/>
          <w:lang w:val="en-GB"/>
        </w:rPr>
        <w:t xml:space="preserve">straightforward </w:t>
      </w:r>
      <w:proofErr w:type="gramStart"/>
      <w:r w:rsidR="00552636" w:rsidRPr="00552636">
        <w:rPr>
          <w:rFonts w:asciiTheme="majorBidi" w:hAnsiTheme="majorBidi" w:cstheme="majorBidi"/>
          <w:lang w:val="en-GB"/>
        </w:rPr>
        <w:t>reason</w:t>
      </w:r>
      <w:r w:rsidRPr="00552636">
        <w:rPr>
          <w:rFonts w:asciiTheme="majorBidi" w:hAnsiTheme="majorBidi" w:cstheme="majorBidi"/>
          <w:lang w:val="en-GB"/>
        </w:rPr>
        <w:t xml:space="preserve"> why</w:t>
      </w:r>
      <w:proofErr w:type="gramEnd"/>
      <w:r w:rsidRPr="00552636">
        <w:rPr>
          <w:rFonts w:asciiTheme="majorBidi" w:hAnsiTheme="majorBidi" w:cstheme="majorBidi"/>
          <w:lang w:val="en-GB"/>
        </w:rPr>
        <w:t xml:space="preserve"> this present study is significant is that in high resource settings, this proved to be lacking in the African resource-poor setting in terms of </w:t>
      </w:r>
      <w:r w:rsidR="00552636" w:rsidRPr="00552636">
        <w:rPr>
          <w:rFonts w:asciiTheme="majorBidi" w:hAnsiTheme="majorBidi" w:cstheme="majorBidi"/>
          <w:lang w:val="en-GB"/>
        </w:rPr>
        <w:t>evaluating</w:t>
      </w:r>
      <w:r w:rsidRPr="00552636">
        <w:rPr>
          <w:rFonts w:asciiTheme="majorBidi" w:hAnsiTheme="majorBidi" w:cstheme="majorBidi"/>
          <w:lang w:val="en-GB"/>
        </w:rPr>
        <w:t xml:space="preserve"> the exists and functioning of an explainable CDSS.</w:t>
      </w:r>
    </w:p>
    <w:p w14:paraId="0B25FDD2" w14:textId="18989F2D"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Another aspect of the CDSS literature pertinent to the current study is whether or not the AI-driven recommendation becomes part of the healthcare decision chain is an issue of accountability and clinical liability for such use. While the general question of the legal/prescription responsibilities of the practitioner when utilizing the CDSS is raised by Berner (2009), the literature related to its effectiveness, as reviewed here, </w:t>
      </w:r>
      <w:r w:rsidR="00552636" w:rsidRPr="00552636">
        <w:rPr>
          <w:rFonts w:asciiTheme="majorBidi" w:hAnsiTheme="majorBidi" w:cstheme="majorBidi"/>
          <w:lang w:val="en-GB"/>
        </w:rPr>
        <w:t>changes to</w:t>
      </w:r>
      <w:r w:rsidRPr="00552636">
        <w:rPr>
          <w:rFonts w:asciiTheme="majorBidi" w:hAnsiTheme="majorBidi" w:cstheme="majorBidi"/>
          <w:lang w:val="en-GB"/>
        </w:rPr>
        <w:t xml:space="preserve"> date (Kawamoto et al., 2005; Garg et al., 2005), does not much mention how the clinician's perception of responsibility influences their use of the CDSS or their willingness to take the CDSS recommendations. This is particularly relevant when introducing explainability, then – when the explanation is based on a set of features, an existing clinician might be more willing </w:t>
      </w:r>
      <w:r w:rsidRPr="00552636">
        <w:rPr>
          <w:rFonts w:asciiTheme="majorBidi" w:hAnsiTheme="majorBidi" w:cstheme="majorBidi"/>
          <w:lang w:val="en-GB"/>
        </w:rPr>
        <w:lastRenderedPageBreak/>
        <w:t>to follow a suggestion for intervention than if presented with a scores-only recommendation, even if that recommendation is incorrect. Sutton et al. (2020) hint at this in their analysis of “automation bias” but do not specifically address it as it applies to explainable AI, as opposed to opaque AI. This speaks to the present study's focus on explainability being a tool not just to increase clinician understanding, but to also calibrate clinician confidence without over- or under-estimating the confidence of the clinician's response in a CDSS scenario in which patient safety depends on how those relying on the system feel about the confidence of that response.</w:t>
      </w:r>
    </w:p>
    <w:p w14:paraId="589A767A" w14:textId="74E9556A"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The terms “success” in literature of the CDSS also merit a critical analysis and it is relevant to the present </w:t>
      </w:r>
      <w:r w:rsidR="00552636" w:rsidRPr="00552636">
        <w:rPr>
          <w:rFonts w:asciiTheme="majorBidi" w:hAnsiTheme="majorBidi" w:cstheme="majorBidi"/>
          <w:lang w:val="en-GB"/>
        </w:rPr>
        <w:t>study because</w:t>
      </w:r>
      <w:r w:rsidRPr="00552636">
        <w:rPr>
          <w:rFonts w:asciiTheme="majorBidi" w:hAnsiTheme="majorBidi" w:cstheme="majorBidi"/>
          <w:lang w:val="en-GB"/>
        </w:rPr>
        <w:t xml:space="preserve"> one has to understand what success means to set conditions for one's own evaluation of the study. However, the most basic papers in this category as reported in Kawamoto et al. (2005) and Garg et al. (2005) tended to describe the successful implementation in terms of “process” level rather than a level of patient “outcomes” such as clinical outcomes, fewer complications. Chiefly, this slender integrative assessment continues beyond the AI-CDSS age, with many of today's CDSS being evaluated on model-level criteria (e.g., accuracy, AUC), and little focus on the impact the CDSS has on how clinicians use them or their care outcome. This results in a new set of evaluation gaps model-level evaluation and clinician uptake of the CDSS, and clinician uptake and patient outcomes.</w:t>
      </w:r>
    </w:p>
    <w:p w14:paraId="49C91EFF" w14:textId="40ED46FC"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This narrow, integrative assessment has been continued along the way with many current CDSS being evaluated at the model level (accuracy, AUC) and missed opportunity for assessing whether patients and clinicians </w:t>
      </w:r>
      <w:r w:rsidR="00552636" w:rsidRPr="00552636">
        <w:rPr>
          <w:rFonts w:asciiTheme="majorBidi" w:hAnsiTheme="majorBidi" w:cstheme="majorBidi"/>
          <w:lang w:val="en-GB"/>
        </w:rPr>
        <w:t>accept</w:t>
      </w:r>
      <w:r w:rsidRPr="00552636">
        <w:rPr>
          <w:rFonts w:asciiTheme="majorBidi" w:hAnsiTheme="majorBidi" w:cstheme="majorBidi"/>
          <w:lang w:val="en-GB"/>
        </w:rPr>
        <w:t xml:space="preserve"> the CDSS or whether the CDSS </w:t>
      </w:r>
      <w:r w:rsidR="00552636" w:rsidRPr="00552636">
        <w:rPr>
          <w:rFonts w:asciiTheme="majorBidi" w:hAnsiTheme="majorBidi" w:cstheme="majorBidi"/>
          <w:lang w:val="en-GB"/>
        </w:rPr>
        <w:t>is effective on</w:t>
      </w:r>
      <w:r w:rsidRPr="00552636">
        <w:rPr>
          <w:rFonts w:asciiTheme="majorBidi" w:hAnsiTheme="majorBidi" w:cstheme="majorBidi"/>
          <w:lang w:val="en-GB"/>
        </w:rPr>
        <w:t xml:space="preserve"> them. Moreover, unlike clinical outcomes, model performance and explanation fidelity represent the bases for assessing most of the models reviewed in this work, demonstrating that, despite being already the most sophisticated model reviewed, the gestational-diabetes CDSS developed by Du et al. (2022) has yet to fully close the evaluative gap. The findings of this study raise concerns that any one technically-sound explainable CDSS may not actually be a clinically effective CDSS and, where possible, the current study should implement a process-level or perceptual assessment of clinician trust of the CDSS, along with commonly used predictive performance indicators.</w:t>
      </w:r>
    </w:p>
    <w:p w14:paraId="7C09914E" w14:textId="71528ECD" w:rsidR="00552636" w:rsidRPr="00552636" w:rsidRDefault="00552636"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Finally, as far as practical limitations go, the ability of the CDSS to be "interoperable" with existing health information infrastructure is dealt with inconsistently by the CDSS effectiveness literature. Even within the relatively well-resourced health sector in the United States, Wright et al. (2009) were able to find a significant variation in decision support </w:t>
      </w:r>
      <w:r w:rsidRPr="00552636">
        <w:rPr>
          <w:rFonts w:asciiTheme="majorBidi" w:hAnsiTheme="majorBidi" w:cstheme="majorBidi"/>
          <w:lang w:val="en-GB"/>
        </w:rPr>
        <w:lastRenderedPageBreak/>
        <w:t xml:space="preserve">capabilities of commercial clinical information systems, leading to the obvious question of whether the health facilities to which the proposed CDSS may be rolled out in Ghana have electronic health record systems that can provide structured inputs as required by any prediction model that relies on machine learning. Not one of the studies in this chapter, including that of Du et al. (2022) that developed a system of explainable data (AX) to support a gestational diabetes system, addresses the situation in which a CDSS has to blend with partially digitalised or paper-based records, which is typical in many parts of the Ghanaian primary health care system. This is not simply a note in the implementation section, but rather has implications for model design; if a system is dependent on having information automatically derived from a structured EHR, its design is very different from a system for which the information is entered at the point of care by the clinician, and the latter comes with its own risk of data entry error and workflow disturbance, the general CDSS literature (Kawamoto et al., 2005; Sutton et al., 2020) has attributed to reduced clinical adoption. Along with the aforementioned gaps on explainability and predictive-validity, another gap, namely, the absence of any reviewed study on deployment of explainable AI-CDSS under low-infrastructure conditions, is another distinct aspect of the overall research gap. For the same </w:t>
      </w:r>
      <w:r w:rsidRPr="00552636">
        <w:rPr>
          <w:rFonts w:asciiTheme="majorBidi" w:hAnsiTheme="majorBidi" w:cstheme="majorBidi"/>
          <w:lang w:val="en-GB"/>
        </w:rPr>
        <w:t>reason,</w:t>
      </w:r>
      <w:r w:rsidRPr="00552636">
        <w:rPr>
          <w:rFonts w:asciiTheme="majorBidi" w:hAnsiTheme="majorBidi" w:cstheme="majorBidi"/>
          <w:lang w:val="en-GB"/>
        </w:rPr>
        <w:t xml:space="preserve"> the present system architecture is recommended to be designed for the use in lower (not fuller) integration of EHRs, while wide integration of the EHRs is a possible but optional benefit of the system use.</w:t>
      </w:r>
    </w:p>
    <w:p w14:paraId="33F834B3" w14:textId="77777777" w:rsidR="00A14CCD" w:rsidRPr="00552636" w:rsidRDefault="00000000" w:rsidP="00F9196A">
      <w:pPr>
        <w:pStyle w:val="Heading2"/>
        <w:spacing w:before="300" w:after="160" w:line="360" w:lineRule="auto"/>
        <w:jc w:val="both"/>
        <w:rPr>
          <w:rFonts w:asciiTheme="majorBidi" w:hAnsiTheme="majorBidi" w:cstheme="majorBidi"/>
          <w:color w:val="auto"/>
          <w:sz w:val="24"/>
          <w:szCs w:val="24"/>
          <w:lang w:val="en-GB"/>
        </w:rPr>
      </w:pPr>
      <w:bookmarkStart w:id="5" w:name="_Toc239877048"/>
      <w:r w:rsidRPr="00552636">
        <w:rPr>
          <w:rFonts w:asciiTheme="majorBidi" w:hAnsiTheme="majorBidi" w:cstheme="majorBidi"/>
          <w:b/>
          <w:bCs/>
          <w:color w:val="auto"/>
          <w:sz w:val="24"/>
          <w:szCs w:val="24"/>
          <w:lang w:val="en-GB"/>
        </w:rPr>
        <w:t>2.5 Explainable Artificial Intelligence: Technical Maturity, Clinical Immaturity</w:t>
      </w:r>
      <w:bookmarkEnd w:id="5"/>
    </w:p>
    <w:p w14:paraId="34E4F53E" w14:textId="1B2F798C"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From a review of the literature in </w:t>
      </w:r>
      <w:r w:rsidR="00552636" w:rsidRPr="00552636">
        <w:rPr>
          <w:rFonts w:asciiTheme="majorBidi" w:hAnsiTheme="majorBidi" w:cstheme="majorBidi"/>
          <w:lang w:val="en-GB"/>
        </w:rPr>
        <w:t>XAI,</w:t>
      </w:r>
      <w:r w:rsidRPr="00552636">
        <w:rPr>
          <w:rFonts w:asciiTheme="majorBidi" w:hAnsiTheme="majorBidi" w:cstheme="majorBidi"/>
          <w:lang w:val="en-GB"/>
        </w:rPr>
        <w:t xml:space="preserve"> it is clear that although the techniques of explanation are fairly well developed, the empirical evidence of their clinical usefulness is not that well advanced. If strictly speaking the field is mature, then Ribeiro et al (2016)'s LIME framework and Lundberg and Lee's (2017) SHAP framework are two de facto common tools alluded to in nearly every subsequent diabetes-prediction study analysing explainability (Khokhar et al., 2025; Chari et al., 2023; Rafie et al., 2025; Maimaitijiang, Aihaiti and Mamatjan, 2025). A taxonomy that exposes a critical weakness in much of the applied literature, being an either/or approach rather than a what and how, is implemented by Dostee-Velez and Kim (2017) via a conceptual scaffolding to evaluate such methods: either “Functionally grounded evaluation” which checks whether the explanation is “mathematically consistent with model” or “Application grounded evaluation” which checks whether the explanation “improves clinician decision-making in situ.”</w:t>
      </w:r>
    </w:p>
    <w:p w14:paraId="4EA10D4F" w14:textId="6CEAFA3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lastRenderedPageBreak/>
        <w:t xml:space="preserve">The difficulty is that this is quite apparent in the very best methods used in the most recent problems. To boost performance at predictive and explanatory end, the authors in Khokhar et al. (2025) employed class-imbalance correction (CIC) and ensemble explanation approach using SHAP and the authors in Rafie et al. (2025) incorporated the XGBoost with explainability approaches such as SHAP and LIME to improve the accuracy and interpretability performance prediction for type 2 diabetes. The two studies are both nice technical contributions and only show the ‘success’ of explainability in and by looking at whether its internal consistency measures work as intended; there is no testing by clinicians. But, as does Chari et al. (2023) </w:t>
      </w:r>
      <w:r w:rsidR="00552636" w:rsidRPr="00552636">
        <w:rPr>
          <w:rFonts w:asciiTheme="majorBidi" w:hAnsiTheme="majorBidi" w:cstheme="majorBidi"/>
          <w:lang w:val="en-GB"/>
        </w:rPr>
        <w:t>due</w:t>
      </w:r>
      <w:r w:rsidRPr="00552636">
        <w:rPr>
          <w:rFonts w:asciiTheme="majorBidi" w:hAnsiTheme="majorBidi" w:cstheme="majorBidi"/>
          <w:lang w:val="en-GB"/>
        </w:rPr>
        <w:t xml:space="preserve"> to a large degree, they further push the continuum, explicitly considering post-hoc explanation to motivate both clinical evaluation and the evaluation of type-2 diabetes risk models, and one of very few studies they review in this literature even tests the "presentation and interpretability of an explanation" problem as such (as opposed to simply mathematical derivation). Mathematically sound definition of SHAP values should not have clinical meaning and therefore should not be taken into account as an explanation in the current study otherwise the explanation of it can be obtained but cannot be clearly communicated to clinician.</w:t>
      </w:r>
    </w:p>
    <w:p w14:paraId="13887BF9"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One step further to this continuum, Chari et al. (2023) explicitly include post-hoc explanation in the context of application in clinical settings for type-2 diabetes risk models, but it is also one of the few studies that has focussed on presentation and interpretability of an explanation of the risk model itself as a relevant research problem. This distinction between the ability to generate an explanation and the ability to communicate it in a useful manner to a clinician is important and needs to be explicitly addressed in the current study as a clinically useful value may not be a valid mathematically meaningful SHAP value.</w:t>
      </w:r>
    </w:p>
    <w:p w14:paraId="7608C4FD" w14:textId="052C5AA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Another distinction between explainability approaches that is sometimes neglected in applications to diabetes prediction is the explainability of either a global or an explained local </w:t>
      </w:r>
      <w:r w:rsidR="00552636" w:rsidRPr="00552636">
        <w:rPr>
          <w:rFonts w:asciiTheme="majorBidi" w:hAnsiTheme="majorBidi" w:cstheme="majorBidi"/>
          <w:lang w:val="en-GB"/>
        </w:rPr>
        <w:t>model. One</w:t>
      </w:r>
      <w:r w:rsidRPr="00552636">
        <w:rPr>
          <w:rFonts w:asciiTheme="majorBidi" w:hAnsiTheme="majorBidi" w:cstheme="majorBidi"/>
          <w:lang w:val="en-GB"/>
        </w:rPr>
        <w:t xml:space="preserve"> more aspect of explainability that is often overlooked (as in the majority of the XAI literature) is the type of explanation that is provided for the global model or the explained local model. One of them, by design, is ‘local' explanation method: They explain why a model made a certain prediction (as used to explain certain answers to a patient) but does not describe the general decision logic used by the model across the population. Both Khokhar et.al., 2025 (and Rafie et.al., 2025) use a standard and convincing feature-importance measure: They average local SHAP scores over the test sets. They get a measure of salience that may not reflect how salient a feature will be to a physician at the time of treating a patient. It becomes relevant because, when creating a CDSS for individual clinical decision making, an </w:t>
      </w:r>
      <w:r w:rsidRPr="00552636">
        <w:rPr>
          <w:rFonts w:asciiTheme="majorBidi" w:hAnsiTheme="majorBidi" w:cstheme="majorBidi"/>
          <w:lang w:val="en-GB"/>
        </w:rPr>
        <w:lastRenderedPageBreak/>
        <w:t>aggregation-based ranking (like the feature BMI) might not be relevant to a specific patient while for a clinician fed by an explanation-</w:t>
      </w:r>
      <w:r w:rsidR="00552636" w:rsidRPr="00552636">
        <w:rPr>
          <w:rFonts w:asciiTheme="majorBidi" w:hAnsiTheme="majorBidi" w:cstheme="majorBidi"/>
          <w:lang w:val="en-GB"/>
        </w:rPr>
        <w:t>based</w:t>
      </w:r>
      <w:r w:rsidRPr="00552636">
        <w:rPr>
          <w:rFonts w:asciiTheme="majorBidi" w:hAnsiTheme="majorBidi" w:cstheme="majorBidi"/>
          <w:lang w:val="en-GB"/>
        </w:rPr>
        <w:t xml:space="preserve"> interface, a feature may have a high rank in a population but not relevant to the individual patient. No diabetes-XAI study reviewed here reports explicitly about tests, however, as mentioned in the previous paragraphs, it remains unclear whether the diagnostic power of the clinicians to tell these </w:t>
      </w:r>
      <w:r w:rsidR="00B843A0" w:rsidRPr="00552636">
        <w:rPr>
          <w:rFonts w:asciiTheme="majorBidi" w:hAnsiTheme="majorBidi" w:cstheme="majorBidi"/>
          <w:lang w:val="en-GB"/>
        </w:rPr>
        <w:t>two-explanation</w:t>
      </w:r>
      <w:r w:rsidRPr="00552636">
        <w:rPr>
          <w:rFonts w:asciiTheme="majorBidi" w:hAnsiTheme="majorBidi" w:cstheme="majorBidi"/>
          <w:lang w:val="en-GB"/>
        </w:rPr>
        <w:t xml:space="preserve"> mode when deployed in a system is intact.</w:t>
      </w:r>
    </w:p>
    <w:p w14:paraId="497A0D54" w14:textId="59807441"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While literature reviews of STs often fail to explicitly consider the analytical limitations of SHAP, it is also important to keep LIME as the backbone of the CDSS for diabetes prediction in </w:t>
      </w:r>
      <w:r w:rsidR="00B843A0" w:rsidRPr="00552636">
        <w:rPr>
          <w:rFonts w:asciiTheme="majorBidi" w:hAnsiTheme="majorBidi" w:cstheme="majorBidi"/>
          <w:lang w:val="en-GB"/>
        </w:rPr>
        <w:t>mind. The</w:t>
      </w:r>
      <w:r w:rsidRPr="00552636">
        <w:rPr>
          <w:rFonts w:asciiTheme="majorBidi" w:hAnsiTheme="majorBidi" w:cstheme="majorBidi"/>
          <w:lang w:val="en-GB"/>
        </w:rPr>
        <w:t xml:space="preserve"> applied literature does not always explicitly acknowledge the analytical limitations of </w:t>
      </w:r>
      <w:r w:rsidR="00B843A0" w:rsidRPr="00552636">
        <w:rPr>
          <w:rFonts w:asciiTheme="majorBidi" w:hAnsiTheme="majorBidi" w:cstheme="majorBidi"/>
          <w:lang w:val="en-GB"/>
        </w:rPr>
        <w:t>SHAP,</w:t>
      </w:r>
      <w:r w:rsidRPr="00552636">
        <w:rPr>
          <w:rFonts w:asciiTheme="majorBidi" w:hAnsiTheme="majorBidi" w:cstheme="majorBidi"/>
          <w:lang w:val="en-GB"/>
        </w:rPr>
        <w:t xml:space="preserve"> and it is also important to consider LIME as the explanatory backbone of the CDSS predicting diabetes. The original formulation of LIME by Ribeiro, Singh and Guestrin (2016) was rather simple, constructs local surrogate model around each individual prediction, and is inexpensive to compute; however, the explanations it produces depends on the sampling procedure used to build the local surrogate model, and are thus different for different runs of LIME applied to the same prediction, as demonstrated in the broader field of XAI. While founded on the cooperative game-theoretic formulation invented by Lundberg and Lee (2017), SHAP is much more costly, especially for the two most appropriate architectures for structured data on diabetes, presented in Section 2.2: tree ensembles and gradient-boosting models. None of the diabetes studies in the literature use LIME instead of SHAP (other than the one mentioned above that reported LIME at a disadvantage of being less theoretically consistent), indicating that there appears to be a theoretical preference for SHAP over LIME, although the majority of studies were conducted on small-scale datasets; no study mentions computational cost for generating SHAP explanations at point of care, which is a material consideration for CDSS intended to be deployed in an infrastructure-lean setting in Ghana with limited computational resources, where generation latency could be significant to clinical workflow and, consequently, uptake.</w:t>
      </w:r>
    </w:p>
    <w:p w14:paraId="44A196C2" w14:textId="5032C80A"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For all of these, though, the applied diabetes-XAI literature reveals a curious descent into a more patient-centred (rather than clinician-centred) manner of telling that is analytically inexplicable. Majyambere et al. (2026) proposed an explainable two-stage ML workflow which emphasizes the easy access to the explanation within the screening workflow and Maimaitjiang et al. (2025) presented an explainable framework with a personalised Chatbot assistant, where the main focus is on communicating explanations about diabetes risks directly to the patient. They also foster novel opportunities for the diffusion of explainability beyond the clinician, </w:t>
      </w:r>
      <w:r w:rsidRPr="00552636">
        <w:rPr>
          <w:rFonts w:asciiTheme="majorBidi" w:hAnsiTheme="majorBidi" w:cstheme="majorBidi"/>
          <w:lang w:val="en-GB"/>
        </w:rPr>
        <w:lastRenderedPageBreak/>
        <w:t xml:space="preserve">while simultaneously acknowledging an "entire black box" in the literature regarding the explanations from the other formal end user of the CDSS in this study—the clinician as decision-maker. A meta-analysis of 62 peer-reviewed XAI-CDSS literature covering all the clinical specialties in the selected literature, conducted by Abbas, Jeong, and Lee (2025), further confirms this: They found that the most prevalent explanation method is based on visualisation, with structuring the domain data for explanations being the next most common method across the various types of lymphoma data domains, yet usability evaluation, which assesses the clinician's beliefs that they can understand, trust, and act on an explanation when using a CDSS, is the least well developed step in the XAI-CDSS pipeline for all the clinical domains they analysed. This is a meta-analytical finding that gives a good foundation for this study focusing on explainability-for-adoption </w:t>
      </w:r>
      <w:r w:rsidR="00552636" w:rsidRPr="00552636">
        <w:rPr>
          <w:rFonts w:asciiTheme="majorBidi" w:hAnsiTheme="majorBidi" w:cstheme="majorBidi"/>
          <w:lang w:val="en-GB"/>
        </w:rPr>
        <w:t>does not explain</w:t>
      </w:r>
      <w:r w:rsidRPr="00552636">
        <w:rPr>
          <w:rFonts w:asciiTheme="majorBidi" w:hAnsiTheme="majorBidi" w:cstheme="majorBidi"/>
          <w:lang w:val="en-GB"/>
        </w:rPr>
        <w:t xml:space="preserve"> ability-for explain-ability. It also identifies a feature of XAI-CDSS field beyond the present study and Ghana at large.</w:t>
      </w:r>
    </w:p>
    <w:p w14:paraId="7BE09A52" w14:textId="1803A98C" w:rsidR="00552636" w:rsidRPr="00552636" w:rsidRDefault="00552636" w:rsidP="00F9196A">
      <w:pPr>
        <w:spacing w:after="200" w:line="360" w:lineRule="auto"/>
        <w:jc w:val="both"/>
        <w:rPr>
          <w:rFonts w:asciiTheme="majorBidi" w:hAnsiTheme="majorBidi" w:cstheme="majorBidi"/>
          <w:lang w:val="en-GB"/>
        </w:rPr>
      </w:pPr>
      <w:r w:rsidRPr="00552636">
        <w:rPr>
          <w:rStyle w:val="cursor-pointer"/>
          <w:rFonts w:asciiTheme="majorBidi" w:hAnsiTheme="majorBidi" w:cstheme="majorBidi"/>
          <w:lang w:val="en-GB"/>
        </w:rPr>
        <w:t xml:space="preserve">An unexpected </w:t>
      </w:r>
      <w:r w:rsidRPr="00552636">
        <w:rPr>
          <w:rStyle w:val="cursor-pointer"/>
          <w:rFonts w:asciiTheme="majorBidi" w:hAnsiTheme="majorBidi" w:cstheme="majorBidi"/>
          <w:lang w:val="en-GB"/>
        </w:rPr>
        <w:t>penalizable</w:t>
      </w:r>
      <w:r w:rsidRPr="00552636">
        <w:rPr>
          <w:rStyle w:val="cursor-pointer"/>
          <w:rFonts w:asciiTheme="majorBidi" w:hAnsiTheme="majorBidi" w:cstheme="majorBidi"/>
          <w:lang w:val="en-GB"/>
        </w:rPr>
        <w:t xml:space="preserve"> area of risk in the applied XAI literature is the cognitive load that explanations themselves may inflict on clinically time-constrained users.</w:t>
      </w:r>
      <w:r w:rsidRPr="00552636">
        <w:rPr>
          <w:rFonts w:asciiTheme="majorBidi" w:hAnsiTheme="majorBidi" w:cstheme="majorBidi"/>
          <w:lang w:val="en-GB"/>
        </w:rPr>
        <w:t xml:space="preserve"> </w:t>
      </w:r>
      <w:r w:rsidRPr="00552636">
        <w:rPr>
          <w:rStyle w:val="cursor-pointer"/>
          <w:rFonts w:asciiTheme="majorBidi" w:hAnsiTheme="majorBidi" w:cstheme="majorBidi"/>
          <w:lang w:val="en-GB"/>
        </w:rPr>
        <w:t>While the Doshi-Velez and Kim (2017) evaluation taxonomy makes the implicit assumption that a human evaluator will have enough time and motivation to make themselves available for interpreting the content of the explanation, Sutton et al. (2020) mention elsewhere in the CDSS literature that alert fatigue and time pressure are already known as poisons to effective use of CDSS without the additional burden of interpretation imposed by a SHAP-type feature-attribution dataset.</w:t>
      </w:r>
      <w:r w:rsidRPr="00552636">
        <w:rPr>
          <w:rFonts w:asciiTheme="majorBidi" w:hAnsiTheme="majorBidi" w:cstheme="majorBidi"/>
          <w:lang w:val="en-GB"/>
        </w:rPr>
        <w:t xml:space="preserve"> </w:t>
      </w:r>
      <w:r w:rsidRPr="00552636">
        <w:rPr>
          <w:rStyle w:val="cursor-pointer"/>
          <w:rFonts w:asciiTheme="majorBidi" w:hAnsiTheme="majorBidi" w:cstheme="majorBidi"/>
          <w:lang w:val="en-GB"/>
        </w:rPr>
        <w:t>No XAI studies on diabetes covered in this chapter measure how long it takes clinicians to interpret an explanation, compared to how long that time would take without an explanation, nor investigate whether meaningfully interacting with explanations occurs with this sort of clinical clinician or whether they look at it, but take it as a sign of credibility they need not investigate analytically.</w:t>
      </w:r>
      <w:r w:rsidRPr="00552636">
        <w:rPr>
          <w:rFonts w:asciiTheme="majorBidi" w:hAnsiTheme="majorBidi" w:cstheme="majorBidi"/>
          <w:lang w:val="en-GB"/>
        </w:rPr>
        <w:t xml:space="preserve"> </w:t>
      </w:r>
      <w:r w:rsidRPr="00552636">
        <w:rPr>
          <w:rStyle w:val="cursor-pointer"/>
          <w:rFonts w:asciiTheme="majorBidi" w:hAnsiTheme="majorBidi" w:cstheme="majorBidi"/>
          <w:lang w:val="en-GB"/>
        </w:rPr>
        <w:t xml:space="preserve">The potential of explainability to fulfil as simply a trust-conferring rhetorical trick rather than a useful analytical tool would greatly limit the theoretical basis of explainable AI developed in this literature, which seeks alternative explanations of how explainable AI has the potential to deliver substantive </w:t>
      </w:r>
      <w:r w:rsidRPr="00552636">
        <w:rPr>
          <w:rStyle w:val="cursor-pointer"/>
          <w:rFonts w:asciiTheme="majorBidi" w:hAnsiTheme="majorBidi" w:cstheme="majorBidi"/>
          <w:lang w:val="en-GB"/>
        </w:rPr>
        <w:t>transparency. If</w:t>
      </w:r>
      <w:r w:rsidRPr="00552636">
        <w:rPr>
          <w:rStyle w:val="cursor-pointer"/>
          <w:rFonts w:asciiTheme="majorBidi" w:hAnsiTheme="majorBidi" w:cstheme="majorBidi"/>
          <w:lang w:val="en-GB"/>
        </w:rPr>
        <w:t xml:space="preserve"> this possibility is empirically realised, the theory of explainable AI that has been advanced throughout this literature comes across as a fiction since by the theory's account, explainable AI is designed to provide substantive transparency but what it does is simply to give a rhetorical or trust-conferring effect of being there.</w:t>
      </w:r>
      <w:r w:rsidRPr="00552636">
        <w:rPr>
          <w:rFonts w:asciiTheme="majorBidi" w:hAnsiTheme="majorBidi" w:cstheme="majorBidi"/>
          <w:lang w:val="en-GB"/>
        </w:rPr>
        <w:t xml:space="preserve"> </w:t>
      </w:r>
      <w:r w:rsidRPr="00552636">
        <w:rPr>
          <w:rStyle w:val="cursor-pointer"/>
          <w:rFonts w:asciiTheme="majorBidi" w:hAnsiTheme="majorBidi" w:cstheme="majorBidi"/>
          <w:lang w:val="en-GB"/>
        </w:rPr>
        <w:t xml:space="preserve">This has not been directly tested in any diabetes-specific study found during this review, but where possible the evaluation design adopted by the present study should also be applied directly to </w:t>
      </w:r>
      <w:r w:rsidRPr="00552636">
        <w:rPr>
          <w:rStyle w:val="cursor-pointer"/>
          <w:rFonts w:asciiTheme="majorBidi" w:hAnsiTheme="majorBidi" w:cstheme="majorBidi"/>
          <w:lang w:val="en-GB"/>
        </w:rPr>
        <w:t>clinician’s</w:t>
      </w:r>
      <w:r w:rsidRPr="00552636">
        <w:rPr>
          <w:rStyle w:val="cursor-pointer"/>
          <w:rFonts w:asciiTheme="majorBidi" w:hAnsiTheme="majorBidi" w:cstheme="majorBidi"/>
          <w:lang w:val="en-GB"/>
        </w:rPr>
        <w:t xml:space="preserve"> response time to recordings, as well as the </w:t>
      </w:r>
      <w:r w:rsidRPr="00552636">
        <w:rPr>
          <w:rStyle w:val="cursor-pointer"/>
          <w:rFonts w:asciiTheme="majorBidi" w:hAnsiTheme="majorBidi" w:cstheme="majorBidi"/>
          <w:lang w:val="en-GB"/>
        </w:rPr>
        <w:lastRenderedPageBreak/>
        <w:t>usefulness of the explanation, but rather than asking patients to report, specifically journaling the value of the explanation by providing a structured explanation of what it looks like they are asking for.</w:t>
      </w:r>
    </w:p>
    <w:p w14:paraId="6BBC7706" w14:textId="77777777" w:rsidR="00A14CCD" w:rsidRPr="00552636" w:rsidRDefault="00000000" w:rsidP="00F9196A">
      <w:pPr>
        <w:pStyle w:val="Heading2"/>
        <w:spacing w:before="300" w:after="160" w:line="360" w:lineRule="auto"/>
        <w:jc w:val="both"/>
        <w:rPr>
          <w:rFonts w:asciiTheme="majorBidi" w:hAnsiTheme="majorBidi" w:cstheme="majorBidi"/>
          <w:color w:val="auto"/>
          <w:sz w:val="24"/>
          <w:szCs w:val="24"/>
          <w:lang w:val="en-GB"/>
        </w:rPr>
      </w:pPr>
      <w:bookmarkStart w:id="6" w:name="_Toc239877049"/>
      <w:r w:rsidRPr="00552636">
        <w:rPr>
          <w:rFonts w:asciiTheme="majorBidi" w:hAnsiTheme="majorBidi" w:cstheme="majorBidi"/>
          <w:b/>
          <w:bCs/>
          <w:color w:val="auto"/>
          <w:sz w:val="24"/>
          <w:szCs w:val="24"/>
          <w:lang w:val="en-GB"/>
        </w:rPr>
        <w:t>2.6 Synthesis: Convergence of Gaps</w:t>
      </w:r>
      <w:bookmarkEnd w:id="6"/>
    </w:p>
    <w:p w14:paraId="47E8EB08" w14:textId="789731CA"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These four streams of literature will be defined as four sets of parallel streams of gap and not parallelized streams of gap. The plenty of general ML/DL literature already mentioned has established that deep learning models hold the potential of being accurate for diabetes risk modelling, but have also shown that the increase in accuracy of such models over traditional ensemble models is commonly held by the loss of transparency in the latter ones (see Mohsen et al., 2023; Masood et al., 2026; and Muhammad, Algehyne and Usman, 2020 for their external validation). The literature in Africa and Ghanaian literature shows technical feasibility by using local data (Adua et al., 2021; Dada, Birma and Gora, 2024; Ooko and Oginga, 2025) but also reveals a lack of connection of public health data on the epidemiological risk factors to the feature sets actually used in regional predictive models. As others have said, like with literature, the adoption of a CDSS doesn't necessarily lead to improved practitioner performance or more positive patient outcomes, or to fewer negative outcomes or risks to the patient if these attract extremely negative attention, that is, if the CDSS is developed without understanding how it can be made to be as interpretable as possible, as a structural element that is built into the behavior. Decision-support tools have shown to enhance practitioner performance, and less consistently, patient outcomes, but only if they have certain design features, and as others have noted, the points of concern are well realised alert fatigue, automation bias, mistrust of the CDSS due to opacity when developing the technology without understanding how to incorporate into it an interpretability as a structural component. Finally, it's realized that an explanation-generating system (SHAP and LIME) are also developed, broadly used in the product prediction area, and there are nearly no real clinical </w:t>
      </w:r>
      <w:r w:rsidR="00B843A0" w:rsidRPr="00552636">
        <w:rPr>
          <w:rFonts w:asciiTheme="majorBidi" w:hAnsiTheme="majorBidi" w:cstheme="majorBidi"/>
          <w:lang w:val="en-GB"/>
        </w:rPr>
        <w:t>decision-making</w:t>
      </w:r>
      <w:r w:rsidRPr="00552636">
        <w:rPr>
          <w:rFonts w:asciiTheme="majorBidi" w:hAnsiTheme="majorBidi" w:cstheme="majorBidi"/>
          <w:lang w:val="en-GB"/>
        </w:rPr>
        <w:t xml:space="preserve"> grounded evaluation of look into whether the explanations ‘work’ as intended, in line with the results of the cross domain meta study of Abbas, Jeong and Lee (2025).</w:t>
      </w:r>
    </w:p>
    <w:p w14:paraId="4D8D6D3E"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These four gaps are extremely well overlaps and none are fuzzy. None of the studies surveyed in this report: (a) contained a predictive model trained and tested, preferably with a population comparable to the Ghanaian population, or a population from another West-African country; (b) described an explanation method that is not only mathematically rigorous but comprehensible and useful to a clinician; or (c) included a description of a decision-support </w:t>
      </w:r>
      <w:r w:rsidRPr="00552636">
        <w:rPr>
          <w:rFonts w:asciiTheme="majorBidi" w:hAnsiTheme="majorBidi" w:cstheme="majorBidi"/>
          <w:lang w:val="en-GB"/>
        </w:rPr>
        <w:lastRenderedPageBreak/>
        <w:t>architecture that was successfully implemented, specifically considering the infrastructural or workflow requirements of a resource-limited healthcare system. While the three components have each on their own been shown to be achievable accurate local prediction (Section 2.3), the achievement of an explainable CDSS in principle (Section 2.4) and mature explanation techniques (Section 2.5) they are however yet to be combined for diabetes risk prediction in Ghana specifically. This is not a technical hole but a hole of the integrative research design: It is this integrative hole that the present study aims to tackle rather than any of the unsolved technical problems.</w:t>
      </w:r>
    </w:p>
    <w:p w14:paraId="45A4CD79" w14:textId="77777777"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Last but not least it is important to highlight that the gaps found in these four strands of literature are not independent in my opinion, so the order of engagement with methodological aspects in the present study should be interpreted in that light. The first difficulty is the lack of standardised, externally validated performance benchmarks in the African literature (Ukoba et al., 2025; Masood et al., 2026), that renders it hard to choose reliably an algorithm for this step; the second difficulty is lack of application grounded evaluation in the XAI literature (Doshi-Velez and Kim, 2017; Abbas, Jeong and Lee, 2025), that makes it hard to recover requirements and explain what kind of explanation format will be useful for clinicians in Ghana; and the third difficulty lies with the narrowness of the evaluative insights gained from the CDSS literature (Kawamoto et al., 2005; Sutton et al., 2020), which makes it hard to specify a success criterion beyond the success of the model. These are problems that must be addressed jointly, and which are interdependent, since each constraint limits the other's ability to resolve this problem; thus, the selection of algorithms must evolve, explanation design must evolve, and evaluation criteria must evolve, all in the presence of clinician feedback to influence each other, but where clinician feedback must again inform explanation design, where explanation design must inform what algorithms remain viable, and where the resulting system must be evaluated simultaneously against predictive and usability criteria. This methodological stance, which is in part iterative and in part integrative, is also a direct result of the fragmented nature of the literature examined in this chapter, and is the last 'reason' for the research design chosen for the chapter which follows.</w:t>
      </w:r>
    </w:p>
    <w:p w14:paraId="4B5CCD50" w14:textId="6B6B5790" w:rsidR="008A647A" w:rsidRPr="00552636" w:rsidRDefault="008A647A" w:rsidP="00F9196A">
      <w:pPr>
        <w:spacing w:after="200" w:line="360" w:lineRule="auto"/>
        <w:jc w:val="both"/>
        <w:rPr>
          <w:rFonts w:asciiTheme="majorBidi" w:hAnsiTheme="majorBidi" w:cstheme="majorBidi"/>
          <w:lang w:val="en-GB"/>
        </w:rPr>
      </w:pPr>
      <w:r w:rsidRPr="00552636">
        <w:rPr>
          <w:rFonts w:asciiTheme="majorBidi" w:hAnsiTheme="majorBidi" w:cstheme="majorBidi"/>
          <w:lang w:val="en-GB"/>
        </w:rPr>
        <w:t xml:space="preserve">The integrative framing also implies methodological aspects of the present study that goes beyond the justification of such study. Each of these design points highlights a critical need for action within each strand: use of class imbalanced datasets that are known to result in performance poor enough to be problematic indicates a need to pay explicit attention to class balance (and/or formal external or multi-site validation of the model developed) by any </w:t>
      </w:r>
      <w:r w:rsidRPr="00552636">
        <w:rPr>
          <w:rFonts w:asciiTheme="majorBidi" w:hAnsiTheme="majorBidi" w:cstheme="majorBidi"/>
          <w:lang w:val="en-GB"/>
        </w:rPr>
        <w:lastRenderedPageBreak/>
        <w:t xml:space="preserve">Ghanaian modelling literature, but also by the wider ML/DL literature, which has generally taken such datasets for granted; failure of either the epidemiological or modelling side of literature to document connections between the two sets of features indicates a need for explicit attention to locally documented epidemiological risk factors, but not variable sets imported from the wider ML/DL context; the evaluative narrowness of the CDSS literature indicates the need to move beyond evaluations of model accuracy (i.e. component correctness) to the clinician evaluation – where the clinicians are the patients at application time particularly considering how well the design of explanation components meets the user's need for the benefit of the patient; the failure to consider the limitation of explanation evaluations locally grounded in application-specific patient contexts indicates a need to specifically test the extent to which the explanation design addresses the patient's needs at use-time, and not assume that the "self-evident" benefit is the viability of the maths. This literature </w:t>
      </w:r>
      <w:r w:rsidR="00552636" w:rsidRPr="00552636">
        <w:rPr>
          <w:rFonts w:asciiTheme="majorBidi" w:hAnsiTheme="majorBidi" w:cstheme="majorBidi"/>
          <w:lang w:val="en-GB"/>
        </w:rPr>
        <w:t>is not</w:t>
      </w:r>
      <w:r w:rsidRPr="00552636">
        <w:rPr>
          <w:rFonts w:asciiTheme="majorBidi" w:hAnsiTheme="majorBidi" w:cstheme="majorBidi"/>
          <w:lang w:val="en-GB"/>
        </w:rPr>
        <w:t xml:space="preserve"> only evidence of the gap it provides enough of a "roadmap," so to speak, to inform the decisions required to credibly fill that gap and close the divide in a methodologically sound way.</w:t>
      </w:r>
    </w:p>
    <w:p w14:paraId="24E2AAE1" w14:textId="214A8CA1" w:rsidR="00552636" w:rsidRPr="00552636" w:rsidRDefault="00552636" w:rsidP="00F9196A">
      <w:pPr>
        <w:spacing w:after="200" w:line="360" w:lineRule="auto"/>
        <w:jc w:val="both"/>
        <w:rPr>
          <w:rFonts w:asciiTheme="majorBidi" w:hAnsiTheme="majorBidi" w:cstheme="majorBidi"/>
          <w:lang w:val="en-GB"/>
        </w:rPr>
      </w:pPr>
      <w:r w:rsidRPr="00552636">
        <w:rPr>
          <w:rStyle w:val="cursor-pointer"/>
          <w:rFonts w:asciiTheme="majorBidi" w:hAnsiTheme="majorBidi" w:cstheme="majorBidi"/>
          <w:lang w:val="en-GB"/>
        </w:rPr>
        <w:t>While the literature reviewed in this chapter is insightful on the needs and requirements of making a diabetes-prediction CDSS, the subject of data governance and patient privacy, which was not actually emphasized in much of this literature, was particularly surprising due to the sensitivity of health data upon which any diabetes-prediction CDSS necessarily relies.</w:t>
      </w:r>
      <w:r w:rsidRPr="00552636">
        <w:rPr>
          <w:rFonts w:asciiTheme="majorBidi" w:hAnsiTheme="majorBidi" w:cstheme="majorBidi"/>
          <w:lang w:val="en-GB"/>
        </w:rPr>
        <w:t xml:space="preserve"> </w:t>
      </w:r>
      <w:r w:rsidRPr="00552636">
        <w:rPr>
          <w:rStyle w:val="cursor-pointer"/>
          <w:rFonts w:asciiTheme="majorBidi" w:hAnsiTheme="majorBidi" w:cstheme="majorBidi"/>
          <w:lang w:val="en-GB"/>
        </w:rPr>
        <w:t>All of the ML- or XAI-based prediction studies reviewed in Sections 2.2–2.5 do not discuss the patient consent and data protection processes for obtaining patient records to train AI, nor do the African-based studies (Adua et al., 2021; Dada, Birma and Gora, 2024; Ooko and Oginga, 2025) address prospective clinical deployment versus a retrospective study draw from patients' data.</w:t>
      </w:r>
      <w:r w:rsidRPr="00552636">
        <w:rPr>
          <w:rFonts w:asciiTheme="majorBidi" w:hAnsiTheme="majorBidi" w:cstheme="majorBidi"/>
          <w:lang w:val="en-GB"/>
        </w:rPr>
        <w:t xml:space="preserve"> </w:t>
      </w:r>
      <w:r w:rsidRPr="00552636">
        <w:rPr>
          <w:rStyle w:val="cursor-pointer"/>
          <w:rFonts w:asciiTheme="majorBidi" w:hAnsiTheme="majorBidi" w:cstheme="majorBidi"/>
          <w:lang w:val="en-GB"/>
        </w:rPr>
        <w:t>In regard to technical feasibility, demonstrated in multiple strokes throughout this literature, and deployment readiness, as shown by the CDSS examples discussed in this paper: a Ghanians CDSS with algorithmic and explainability footprint outlined in this chapter, would also require a data governance framework, which is not directly reflected in the studies reviewed here and will be developed as part of this present study's methodology.</w:t>
      </w:r>
      <w:r w:rsidRPr="00552636">
        <w:rPr>
          <w:rFonts w:asciiTheme="majorBidi" w:hAnsiTheme="majorBidi" w:cstheme="majorBidi"/>
          <w:lang w:val="en-GB"/>
        </w:rPr>
        <w:t xml:space="preserve"> </w:t>
      </w:r>
      <w:r w:rsidRPr="00552636">
        <w:rPr>
          <w:rStyle w:val="cursor-pointer"/>
          <w:rFonts w:asciiTheme="majorBidi" w:hAnsiTheme="majorBidi" w:cstheme="majorBidi"/>
          <w:lang w:val="en-GB"/>
        </w:rPr>
        <w:t>Together with the algorithmic, epidemiological and evaluative gaps outlined previously in this synthesis, this governance gap highlights the need for the contribution the present study can make beyond model building: at the same time explaining factors that could be important in the responsible introduction of an explainable CDSS into clinical practice in Ghana.</w:t>
      </w:r>
    </w:p>
    <w:p w14:paraId="530E81E8" w14:textId="77777777" w:rsidR="00A14CCD" w:rsidRPr="008C55B5" w:rsidRDefault="00000000" w:rsidP="00A96347">
      <w:pPr>
        <w:pStyle w:val="Heading1"/>
        <w:pageBreakBefore/>
        <w:spacing w:before="400" w:after="240" w:line="360" w:lineRule="auto"/>
        <w:ind w:hanging="720"/>
        <w:rPr>
          <w:b/>
          <w:bCs/>
          <w:color w:val="auto"/>
        </w:rPr>
      </w:pPr>
      <w:bookmarkStart w:id="7" w:name="_Toc239877050"/>
      <w:r w:rsidRPr="008C55B5">
        <w:rPr>
          <w:b/>
          <w:bCs/>
          <w:color w:val="auto"/>
        </w:rPr>
        <w:lastRenderedPageBreak/>
        <w:t>References</w:t>
      </w:r>
      <w:bookmarkEnd w:id="7"/>
    </w:p>
    <w:p w14:paraId="6E9A8E99" w14:textId="77777777" w:rsidR="00A14CCD" w:rsidRPr="008C55B5" w:rsidRDefault="00000000" w:rsidP="00A96347">
      <w:pPr>
        <w:spacing w:after="200" w:line="360" w:lineRule="auto"/>
        <w:ind w:left="720" w:hanging="720"/>
      </w:pPr>
      <w:r w:rsidRPr="008C55B5">
        <w:t xml:space="preserve">Abbas, Q., Jeong, W. and Lee, S.W. (2025) 'Explainable AI in Clinical Decision Support Systems: A Meta-Analysis of Methods, Applications, and Usability Challenges', </w:t>
      </w:r>
      <w:r w:rsidRPr="008C55B5">
        <w:rPr>
          <w:i/>
          <w:iCs/>
        </w:rPr>
        <w:t>Healthcare</w:t>
      </w:r>
      <w:r w:rsidRPr="008C55B5">
        <w:t>, 13(17), p. 2154. doi: 10.3390/healthcare13172154.</w:t>
      </w:r>
    </w:p>
    <w:p w14:paraId="3A5D844F" w14:textId="77777777" w:rsidR="00A14CCD" w:rsidRPr="008C55B5" w:rsidRDefault="00000000" w:rsidP="00A96347">
      <w:pPr>
        <w:spacing w:after="200" w:line="360" w:lineRule="auto"/>
        <w:ind w:left="720" w:hanging="720"/>
      </w:pPr>
      <w:r w:rsidRPr="008C55B5">
        <w:t xml:space="preserve">Adda, R.B. (2025) 'Improving Type 2 Diabetes Prediction: Comparative Evaluation of Machine Learning Classifiers Using Balanced Data from the AWI-Gen Cohort', </w:t>
      </w:r>
      <w:r w:rsidRPr="008C55B5">
        <w:rPr>
          <w:i/>
          <w:iCs/>
        </w:rPr>
        <w:t>Research Square</w:t>
      </w:r>
      <w:r w:rsidRPr="008C55B5">
        <w:t xml:space="preserve"> [Preprint]. doi: 10.21203/rs.3.rs-8019155/v1.</w:t>
      </w:r>
    </w:p>
    <w:p w14:paraId="30A9A6F0" w14:textId="77777777" w:rsidR="00A14CCD" w:rsidRPr="008C55B5" w:rsidRDefault="00000000" w:rsidP="00A96347">
      <w:pPr>
        <w:spacing w:after="200" w:line="360" w:lineRule="auto"/>
        <w:ind w:left="720" w:hanging="720"/>
      </w:pPr>
      <w:r w:rsidRPr="008C55B5">
        <w:t xml:space="preserve">Adua, E., Kolog, E.A., Afrifa-Yamoah, E. et al. (2021) 'Predictive model and feature importance for early detection of type II diabetes mellitus', </w:t>
      </w:r>
      <w:r w:rsidRPr="008C55B5">
        <w:rPr>
          <w:i/>
          <w:iCs/>
        </w:rPr>
        <w:t>Translational Medicine Communications</w:t>
      </w:r>
      <w:r w:rsidRPr="008C55B5">
        <w:t>, 6, p. 17. doi: 10.1186/s41231-021-00096-z.</w:t>
      </w:r>
    </w:p>
    <w:p w14:paraId="77760FAA" w14:textId="77777777" w:rsidR="00A14CCD" w:rsidRPr="008C55B5" w:rsidRDefault="00000000" w:rsidP="00A96347">
      <w:pPr>
        <w:spacing w:after="200" w:line="360" w:lineRule="auto"/>
        <w:ind w:left="720" w:hanging="720"/>
      </w:pPr>
      <w:r w:rsidRPr="008C55B5">
        <w:t xml:space="preserve">American Diabetes Association (2022) 'Classification and Diagnosis of Diabetes: Standards of Medical Care in Diabetes—2022', </w:t>
      </w:r>
      <w:r w:rsidRPr="008C55B5">
        <w:rPr>
          <w:i/>
          <w:iCs/>
        </w:rPr>
        <w:t>Diabetes Care</w:t>
      </w:r>
      <w:r w:rsidRPr="008C55B5">
        <w:t>, 45(Supplement_1), pp. S17–S38. doi: 10.2337/dc22-S002.</w:t>
      </w:r>
    </w:p>
    <w:p w14:paraId="0743DBBB" w14:textId="77777777" w:rsidR="00A14CCD" w:rsidRPr="008C55B5" w:rsidRDefault="00000000" w:rsidP="00A96347">
      <w:pPr>
        <w:spacing w:after="200" w:line="360" w:lineRule="auto"/>
        <w:ind w:left="720" w:hanging="720"/>
      </w:pPr>
      <w:r w:rsidRPr="008C55B5">
        <w:t xml:space="preserve">Anteneh, A., Belachew, M., Birhanu, S. and Meseret, M. (2025) 'Predicting cardiovascular disease among diabetic patients in Ethiopia using machine learning models: evidence from Ethiopian Public Health Institute data', </w:t>
      </w:r>
      <w:r w:rsidRPr="008C55B5">
        <w:rPr>
          <w:i/>
          <w:iCs/>
        </w:rPr>
        <w:t>BMC Public Health</w:t>
      </w:r>
      <w:r w:rsidRPr="008C55B5">
        <w:t>. doi: 10.1186/s12889-025-24850-2.</w:t>
      </w:r>
    </w:p>
    <w:p w14:paraId="515148DC" w14:textId="77777777" w:rsidR="00A14CCD" w:rsidRPr="008C55B5" w:rsidRDefault="00000000" w:rsidP="00A96347">
      <w:pPr>
        <w:spacing w:after="200" w:line="360" w:lineRule="auto"/>
        <w:ind w:left="720" w:hanging="720"/>
      </w:pPr>
      <w:r w:rsidRPr="008C55B5">
        <w:t xml:space="preserve">Berner, E.S. (2009) </w:t>
      </w:r>
      <w:r w:rsidRPr="008C55B5">
        <w:rPr>
          <w:i/>
          <w:iCs/>
        </w:rPr>
        <w:t>Clinical Decision Support Systems: State of the Art</w:t>
      </w:r>
      <w:r w:rsidRPr="008C55B5">
        <w:t>. Rockville, MD: Agency for Healthcare Research and Quality (AHRQ).</w:t>
      </w:r>
    </w:p>
    <w:p w14:paraId="3664F50B" w14:textId="77777777" w:rsidR="00A14CCD" w:rsidRPr="008C55B5" w:rsidRDefault="00000000" w:rsidP="00A96347">
      <w:pPr>
        <w:spacing w:after="200" w:line="360" w:lineRule="auto"/>
        <w:ind w:left="720" w:hanging="720"/>
      </w:pPr>
      <w:r w:rsidRPr="008C55B5">
        <w:t xml:space="preserve">Chari, S., Acharya, P., Gruen, D.M., Zhang, O., Eyigoz, E.K., Ghalwash, M., Seneviratne, O., Saiz, F.S., Meyer, P., Chakraborty, P. and McGuinness, D.L. (2023) 'Informing clinical assessment by contextualizing post-hoc explanations of risk prediction models in type-2 diabetes', </w:t>
      </w:r>
      <w:r w:rsidRPr="008C55B5">
        <w:rPr>
          <w:i/>
          <w:iCs/>
        </w:rPr>
        <w:t>Artificial Intelligence in Medicine</w:t>
      </w:r>
      <w:r w:rsidRPr="008C55B5">
        <w:t>, 137.</w:t>
      </w:r>
    </w:p>
    <w:p w14:paraId="5A1967A8" w14:textId="77777777" w:rsidR="00A14CCD" w:rsidRPr="008C55B5" w:rsidRDefault="00000000" w:rsidP="00A96347">
      <w:pPr>
        <w:spacing w:after="200" w:line="360" w:lineRule="auto"/>
        <w:ind w:left="720" w:hanging="720"/>
      </w:pPr>
      <w:r w:rsidRPr="008C55B5">
        <w:t xml:space="preserve">Choi, B.G., Rha, S.W., Kim, S.W. et al. (2020) 'Machine Learning for the Prediction of New-Onset Diabetes Mellitus During 5-Year Follow-up in Non-Diabetic Patients </w:t>
      </w:r>
      <w:proofErr w:type="gramStart"/>
      <w:r w:rsidRPr="008C55B5">
        <w:t>With</w:t>
      </w:r>
      <w:proofErr w:type="gramEnd"/>
      <w:r w:rsidRPr="008C55B5">
        <w:t xml:space="preserve"> Cardiovascular Risks', </w:t>
      </w:r>
      <w:r w:rsidRPr="008C55B5">
        <w:rPr>
          <w:i/>
          <w:iCs/>
        </w:rPr>
        <w:t>Yonsei Medical Journal</w:t>
      </w:r>
      <w:r w:rsidRPr="008C55B5">
        <w:t>, 61(2), pp. 169–179. doi: 10.3349/ymj.2020.61.2.169.</w:t>
      </w:r>
    </w:p>
    <w:p w14:paraId="1BAA8EDF" w14:textId="77777777" w:rsidR="00A14CCD" w:rsidRPr="008C55B5" w:rsidRDefault="00000000" w:rsidP="00A96347">
      <w:pPr>
        <w:spacing w:after="200" w:line="360" w:lineRule="auto"/>
        <w:ind w:left="720" w:hanging="720"/>
      </w:pPr>
      <w:r w:rsidRPr="008C55B5">
        <w:lastRenderedPageBreak/>
        <w:t xml:space="preserve">Dada, E.G., Birma, A.I. and Gora, A.A. (2024) 'Ensemble machine learning algorithm for diabetes prediction in Maiduguri, Borno State', </w:t>
      </w:r>
      <w:r w:rsidRPr="008C55B5">
        <w:rPr>
          <w:i/>
          <w:iCs/>
        </w:rPr>
        <w:t>Mikailalsys Journal of Mathematics and Statistics</w:t>
      </w:r>
      <w:r w:rsidRPr="008C55B5">
        <w:t>, 2(2), pp. 46–73. doi: 10.58578/</w:t>
      </w:r>
      <w:proofErr w:type="gramStart"/>
      <w:r w:rsidRPr="008C55B5">
        <w:t>mjms.v</w:t>
      </w:r>
      <w:proofErr w:type="gramEnd"/>
      <w:r w:rsidRPr="008C55B5">
        <w:t>2i2.2875.</w:t>
      </w:r>
    </w:p>
    <w:p w14:paraId="7937B7A2" w14:textId="77777777" w:rsidR="00A14CCD" w:rsidRPr="008C55B5" w:rsidRDefault="00000000" w:rsidP="00A96347">
      <w:pPr>
        <w:spacing w:after="200" w:line="360" w:lineRule="auto"/>
        <w:ind w:left="720" w:hanging="720"/>
      </w:pPr>
      <w:r w:rsidRPr="008C55B5">
        <w:t xml:space="preserve">Doshi-Velez, F. and Kim, B. (2017) 'Towards a rigorous science of interpretable machine learning', </w:t>
      </w:r>
      <w:r w:rsidRPr="008C55B5">
        <w:rPr>
          <w:i/>
          <w:iCs/>
        </w:rPr>
        <w:t>arXiv preprint</w:t>
      </w:r>
      <w:r w:rsidRPr="008C55B5">
        <w:t xml:space="preserve"> arXiv:1702.08608.</w:t>
      </w:r>
    </w:p>
    <w:p w14:paraId="698CABA6" w14:textId="77777777" w:rsidR="00A14CCD" w:rsidRPr="008C55B5" w:rsidRDefault="00000000" w:rsidP="00A96347">
      <w:pPr>
        <w:spacing w:after="200" w:line="360" w:lineRule="auto"/>
        <w:ind w:left="720" w:hanging="720"/>
      </w:pPr>
      <w:r w:rsidRPr="008C55B5">
        <w:t xml:space="preserve">Du, Y., Rafferty, A.R., McAuliffe, F.M. et al. (2022) 'An explainable machine learning-based clinical decision support system for prediction of gestational diabetes mellitus', </w:t>
      </w:r>
      <w:r w:rsidRPr="008C55B5">
        <w:rPr>
          <w:i/>
          <w:iCs/>
        </w:rPr>
        <w:t>Scientific Reports</w:t>
      </w:r>
      <w:r w:rsidRPr="008C55B5">
        <w:t>, 12, p. 1170. doi: 10.1038/s41598-022-05112-2.</w:t>
      </w:r>
    </w:p>
    <w:p w14:paraId="54A1EB6D" w14:textId="77777777" w:rsidR="00A14CCD" w:rsidRPr="008C55B5" w:rsidRDefault="00000000" w:rsidP="00A96347">
      <w:pPr>
        <w:spacing w:after="200" w:line="360" w:lineRule="auto"/>
        <w:ind w:left="720" w:hanging="720"/>
      </w:pPr>
      <w:r w:rsidRPr="008C55B5">
        <w:t xml:space="preserve">Garg, A.X., Adhikari, N.K., McDonald, H. et al. (2005) 'Effects of computerized clinical decision support systems on practitioner performance and patient outcomes: a systematic review', </w:t>
      </w:r>
      <w:r w:rsidRPr="008C55B5">
        <w:rPr>
          <w:i/>
          <w:iCs/>
        </w:rPr>
        <w:t>JAMA</w:t>
      </w:r>
      <w:r w:rsidRPr="008C55B5">
        <w:t>, 293(10), pp. 1223–1238.</w:t>
      </w:r>
    </w:p>
    <w:p w14:paraId="62D1928E" w14:textId="77777777" w:rsidR="00A14CCD" w:rsidRPr="008C55B5" w:rsidRDefault="00000000" w:rsidP="00A96347">
      <w:pPr>
        <w:spacing w:after="200" w:line="360" w:lineRule="auto"/>
        <w:ind w:left="720" w:hanging="720"/>
      </w:pPr>
      <w:r w:rsidRPr="008C55B5">
        <w:t xml:space="preserve">Gatimu, S.M., Milimo, B.W. and Sebastian, M.S. (2016) 'Prevalence and determinants of diabetes among older adults in Ghana', </w:t>
      </w:r>
      <w:r w:rsidRPr="008C55B5">
        <w:rPr>
          <w:i/>
          <w:iCs/>
        </w:rPr>
        <w:t>BMC Public Health</w:t>
      </w:r>
      <w:r w:rsidRPr="008C55B5">
        <w:t>, 16, p. 1174. doi: 10.1186/s12889-016-3845-8.</w:t>
      </w:r>
    </w:p>
    <w:p w14:paraId="1CF04940" w14:textId="77777777" w:rsidR="00A14CCD" w:rsidRPr="008C55B5" w:rsidRDefault="00000000" w:rsidP="00A96347">
      <w:pPr>
        <w:spacing w:after="200" w:line="360" w:lineRule="auto"/>
        <w:ind w:left="720" w:hanging="720"/>
      </w:pPr>
      <w:r w:rsidRPr="008C55B5">
        <w:t xml:space="preserve">Grundlingh, N., Zewotir, T.T., Roberts, D.J. et al. (2022) 'Assessment of prevalence and risk factors of diabetes and pre-diabetes in South Africa', </w:t>
      </w:r>
      <w:r w:rsidRPr="008C55B5">
        <w:rPr>
          <w:i/>
          <w:iCs/>
        </w:rPr>
        <w:t>Journal of Health, Population and Nutrition</w:t>
      </w:r>
      <w:r w:rsidRPr="008C55B5">
        <w:t>, 41, p. 7. doi: 10.1186/s41043-022-00281-2.</w:t>
      </w:r>
    </w:p>
    <w:p w14:paraId="4936D2CC" w14:textId="77777777" w:rsidR="00A14CCD" w:rsidRPr="008C55B5" w:rsidRDefault="00000000" w:rsidP="00A96347">
      <w:pPr>
        <w:spacing w:after="200" w:line="360" w:lineRule="auto"/>
        <w:ind w:left="720" w:hanging="720"/>
      </w:pPr>
      <w:r w:rsidRPr="008C55B5">
        <w:t xml:space="preserve">International Diabetes Federation (2021) </w:t>
      </w:r>
      <w:r w:rsidRPr="008C55B5">
        <w:rPr>
          <w:i/>
          <w:iCs/>
        </w:rPr>
        <w:t>IDF Diabetes Atlas</w:t>
      </w:r>
      <w:r w:rsidRPr="008C55B5">
        <w:t>. 10th edn. Brussels: International Diabetes Federation.</w:t>
      </w:r>
    </w:p>
    <w:p w14:paraId="5741BEF0" w14:textId="77777777" w:rsidR="00A14CCD" w:rsidRPr="008C55B5" w:rsidRDefault="00000000" w:rsidP="00A96347">
      <w:pPr>
        <w:spacing w:after="200" w:line="360" w:lineRule="auto"/>
        <w:ind w:left="720" w:hanging="720"/>
      </w:pPr>
      <w:r w:rsidRPr="008C55B5">
        <w:t xml:space="preserve">Kawamoto, K., Houlihan, C.A., Balas, E.A. and Lobach, D.F. (2005) 'Improving clinical practice using clinical decision support systems: a systematic review of trials to identify features critical to success', </w:t>
      </w:r>
      <w:r w:rsidRPr="008C55B5">
        <w:rPr>
          <w:i/>
          <w:iCs/>
        </w:rPr>
        <w:t>BMJ</w:t>
      </w:r>
      <w:r w:rsidRPr="008C55B5">
        <w:t>, 330, p. 765. doi: 10.1136/bmj.38398.500764.8F.</w:t>
      </w:r>
    </w:p>
    <w:p w14:paraId="1046ED6F" w14:textId="77777777" w:rsidR="00A14CCD" w:rsidRPr="008C55B5" w:rsidRDefault="00000000" w:rsidP="00A96347">
      <w:pPr>
        <w:spacing w:after="200" w:line="360" w:lineRule="auto"/>
        <w:ind w:left="720" w:hanging="720"/>
      </w:pPr>
      <w:r w:rsidRPr="008C55B5">
        <w:t xml:space="preserve">Kelkay, J.M., Haile, E.A., Hailu, S.Z. et al. (2026) 'Forecasting regional trends and burden of diabetes mellitus in Ethiopia using deep learning', </w:t>
      </w:r>
      <w:r w:rsidRPr="008C55B5">
        <w:rPr>
          <w:i/>
          <w:iCs/>
        </w:rPr>
        <w:t>Discover Public Health</w:t>
      </w:r>
      <w:r w:rsidRPr="008C55B5">
        <w:t>, 23, p. 883. doi: 10.1186/s12982-026-02116-5.</w:t>
      </w:r>
    </w:p>
    <w:p w14:paraId="0C0F728D" w14:textId="77777777" w:rsidR="00A14CCD" w:rsidRPr="008C55B5" w:rsidRDefault="00000000" w:rsidP="00A96347">
      <w:pPr>
        <w:spacing w:after="200" w:line="360" w:lineRule="auto"/>
        <w:ind w:left="720" w:hanging="720"/>
      </w:pPr>
      <w:r w:rsidRPr="008C55B5">
        <w:t xml:space="preserve">Khokhar, P.B., Pentangelo, V., Palomba, F. and Gravino, C. (2025) 'Towards transparent and accurate diabetes prediction using machine learning and explainable artificial intelligence', </w:t>
      </w:r>
      <w:r w:rsidRPr="008C55B5">
        <w:rPr>
          <w:i/>
          <w:iCs/>
        </w:rPr>
        <w:t>arXiv</w:t>
      </w:r>
      <w:r w:rsidRPr="008C55B5">
        <w:t>. doi: 10.48550/arXiv.2501.18071.</w:t>
      </w:r>
    </w:p>
    <w:p w14:paraId="47AA39AE" w14:textId="77777777" w:rsidR="00A14CCD" w:rsidRPr="008C55B5" w:rsidRDefault="00000000" w:rsidP="00A96347">
      <w:pPr>
        <w:spacing w:after="200" w:line="360" w:lineRule="auto"/>
        <w:ind w:left="720" w:hanging="720"/>
      </w:pPr>
      <w:r w:rsidRPr="008C55B5">
        <w:lastRenderedPageBreak/>
        <w:t xml:space="preserve">Lundberg, S.M. and Lee, S.-I. (2017) 'A unified approach to interpreting model predictions', </w:t>
      </w:r>
      <w:r w:rsidRPr="008C55B5">
        <w:rPr>
          <w:i/>
          <w:iCs/>
        </w:rPr>
        <w:t>Advances in Neural Information Processing Systems</w:t>
      </w:r>
      <w:r w:rsidRPr="008C55B5">
        <w:t>, 30, pp. 4765–4774.</w:t>
      </w:r>
    </w:p>
    <w:p w14:paraId="6873935D" w14:textId="77777777" w:rsidR="00A14CCD" w:rsidRPr="008C55B5" w:rsidRDefault="00000000" w:rsidP="00A96347">
      <w:pPr>
        <w:spacing w:after="200" w:line="360" w:lineRule="auto"/>
        <w:ind w:left="720" w:hanging="720"/>
      </w:pPr>
      <w:r w:rsidRPr="008C55B5">
        <w:t xml:space="preserve">Maimaitijiang, E., Aihaiti, M. and Mamatjan, Y. (2025) 'An explainable AI framework for online diabetes risk prediction with a personalized chatbot assistant', </w:t>
      </w:r>
      <w:r w:rsidRPr="008C55B5">
        <w:rPr>
          <w:i/>
          <w:iCs/>
        </w:rPr>
        <w:t>Electronics</w:t>
      </w:r>
      <w:r w:rsidRPr="008C55B5">
        <w:t>, 14(18), p. 3738. doi: 10.3390/electronics14183738.</w:t>
      </w:r>
    </w:p>
    <w:p w14:paraId="34E937BE" w14:textId="77777777" w:rsidR="00A14CCD" w:rsidRPr="008C55B5" w:rsidRDefault="00000000" w:rsidP="00A96347">
      <w:pPr>
        <w:spacing w:after="200" w:line="360" w:lineRule="auto"/>
        <w:ind w:left="720" w:hanging="720"/>
      </w:pPr>
      <w:r w:rsidRPr="008C55B5">
        <w:t xml:space="preserve">Majyambere, S., Lindgren, T., Twizere, C. and Ntakirutimana, I. (2026) 'Early Type 2 diabetes risk prediction using explainable machine learning in a two-stage approach', </w:t>
      </w:r>
      <w:r w:rsidRPr="008C55B5">
        <w:rPr>
          <w:i/>
          <w:iCs/>
        </w:rPr>
        <w:t>Frontiers in Digital Health</w:t>
      </w:r>
      <w:r w:rsidRPr="008C55B5">
        <w:t>. doi: 10.3389/fdgth.2026.1743619.</w:t>
      </w:r>
    </w:p>
    <w:p w14:paraId="720C4F82" w14:textId="77777777" w:rsidR="00A14CCD" w:rsidRPr="008C55B5" w:rsidRDefault="00000000" w:rsidP="00A96347">
      <w:pPr>
        <w:spacing w:after="200" w:line="360" w:lineRule="auto"/>
        <w:ind w:left="720" w:hanging="720"/>
      </w:pPr>
      <w:r w:rsidRPr="008C55B5">
        <w:t xml:space="preserve">Masood, S., Al-Bashrawi, M.A., Khan, M.A. et al. (2026) 'From data to diagnosis: a systematic review on AI-driven approaches to diabetes prediction', </w:t>
      </w:r>
      <w:r w:rsidRPr="008C55B5">
        <w:rPr>
          <w:i/>
          <w:iCs/>
        </w:rPr>
        <w:t>Artificial Intelligence Review</w:t>
      </w:r>
      <w:r w:rsidRPr="008C55B5">
        <w:t>, 59, p. 103. doi: 10.1007/s10462-025-11485-3.</w:t>
      </w:r>
    </w:p>
    <w:p w14:paraId="5D53261C" w14:textId="77777777" w:rsidR="00A14CCD" w:rsidRPr="008C55B5" w:rsidRDefault="00000000" w:rsidP="00A96347">
      <w:pPr>
        <w:spacing w:after="200" w:line="360" w:lineRule="auto"/>
        <w:ind w:left="720" w:hanging="720"/>
      </w:pPr>
      <w:r w:rsidRPr="008C55B5">
        <w:t xml:space="preserve">Mohsen, F., Al-Absi, H.R.H., Yousri, N.A. et al. (2023) 'A scoping review of artificial intelligence-based methods for diabetes risk prediction', </w:t>
      </w:r>
      <w:r w:rsidRPr="008C55B5">
        <w:rPr>
          <w:i/>
          <w:iCs/>
        </w:rPr>
        <w:t>NPJ Digital Medicine</w:t>
      </w:r>
      <w:r w:rsidRPr="008C55B5">
        <w:t>, 6, p. 197. doi: 10.1038/s41746-023-00933-5.</w:t>
      </w:r>
    </w:p>
    <w:p w14:paraId="59E9F1FD" w14:textId="77777777" w:rsidR="00A14CCD" w:rsidRPr="008C55B5" w:rsidRDefault="00000000" w:rsidP="00A96347">
      <w:pPr>
        <w:spacing w:after="200" w:line="360" w:lineRule="auto"/>
        <w:ind w:left="720" w:hanging="720"/>
      </w:pPr>
      <w:r w:rsidRPr="008C55B5">
        <w:t xml:space="preserve">Muhammad, L.J., Algehyne, E.A. and Usman, S.S. (2020) 'Predictive Supervised Machine Learning Models for Diabetes Mellitus', </w:t>
      </w:r>
      <w:r w:rsidRPr="008C55B5">
        <w:rPr>
          <w:i/>
          <w:iCs/>
        </w:rPr>
        <w:t>SN Computer Science</w:t>
      </w:r>
      <w:r w:rsidRPr="008C55B5">
        <w:t>, 1, p. 240. doi: 10.1007/s42979-020-00250-8.</w:t>
      </w:r>
    </w:p>
    <w:p w14:paraId="7EF54D60" w14:textId="77777777" w:rsidR="00A14CCD" w:rsidRPr="008C55B5" w:rsidRDefault="00000000" w:rsidP="00A96347">
      <w:pPr>
        <w:spacing w:after="200" w:line="360" w:lineRule="auto"/>
        <w:ind w:left="720" w:hanging="720"/>
      </w:pPr>
      <w:r w:rsidRPr="008C55B5">
        <w:t xml:space="preserve">Olorunfemi, B.O., Ogunde, A.O., Almogren, A. et al. (2025) 'Efficient diagnosis of diabetes mellitus using an improved ensemble method', </w:t>
      </w:r>
      <w:r w:rsidRPr="008C55B5">
        <w:rPr>
          <w:i/>
          <w:iCs/>
        </w:rPr>
        <w:t>Scientific Reports</w:t>
      </w:r>
      <w:r w:rsidRPr="008C55B5">
        <w:t>, 15, p. 3235. doi: 10.1038/s41598-025-87767-1.</w:t>
      </w:r>
    </w:p>
    <w:p w14:paraId="23A64D3E" w14:textId="77777777" w:rsidR="00A14CCD" w:rsidRPr="008C55B5" w:rsidRDefault="00000000" w:rsidP="00A96347">
      <w:pPr>
        <w:spacing w:after="200" w:line="360" w:lineRule="auto"/>
        <w:ind w:left="720" w:hanging="720"/>
      </w:pPr>
      <w:r w:rsidRPr="008C55B5">
        <w:t xml:space="preserve">Ooko, S.O. and Oginga, R. (2025) 'Application of machine learning for early detection of chronic diseases in Africa', </w:t>
      </w:r>
      <w:r w:rsidRPr="008C55B5">
        <w:rPr>
          <w:i/>
          <w:iCs/>
        </w:rPr>
        <w:t>Journal of Public Health Research</w:t>
      </w:r>
      <w:r w:rsidRPr="008C55B5">
        <w:t>, 14(3). doi: 10.1177/22799036251373012.</w:t>
      </w:r>
    </w:p>
    <w:p w14:paraId="3DEE169F" w14:textId="77777777" w:rsidR="00A14CCD" w:rsidRPr="008C55B5" w:rsidRDefault="00000000" w:rsidP="00A96347">
      <w:pPr>
        <w:spacing w:after="200" w:line="360" w:lineRule="auto"/>
        <w:ind w:left="720" w:hanging="720"/>
      </w:pPr>
      <w:r w:rsidRPr="008C55B5">
        <w:t xml:space="preserve">Rafie, Z., Talab, M.S., Koor, B.E., Garavand, A., Salehnasab, C. and Ghaderzadeh, M. (2025) 'Leveraging XGBoost and explainable AI for accurate prediction of type 2 diabetes', </w:t>
      </w:r>
      <w:r w:rsidRPr="008C55B5">
        <w:rPr>
          <w:i/>
          <w:iCs/>
        </w:rPr>
        <w:t>BMC Public Health</w:t>
      </w:r>
      <w:r w:rsidRPr="008C55B5">
        <w:t>, 25, p. 3688. doi: 10.1186/s12889-025-24953-w.</w:t>
      </w:r>
    </w:p>
    <w:p w14:paraId="71E69618" w14:textId="77777777" w:rsidR="00A14CCD" w:rsidRPr="008C55B5" w:rsidRDefault="00000000" w:rsidP="00A96347">
      <w:pPr>
        <w:spacing w:after="200" w:line="360" w:lineRule="auto"/>
        <w:ind w:left="720" w:hanging="720"/>
      </w:pPr>
      <w:r w:rsidRPr="008C55B5">
        <w:t xml:space="preserve">Rhee, S.Y., Sung, J.M., Kim, S., Cho, I.-J., Lee, S.-E. and Chang, H.-J. (2021) 'Development and validation of a deep learning-based diabetes prediction system using a nationwide </w:t>
      </w:r>
      <w:r w:rsidRPr="008C55B5">
        <w:lastRenderedPageBreak/>
        <w:t xml:space="preserve">population-based cohort', </w:t>
      </w:r>
      <w:r w:rsidRPr="008C55B5">
        <w:rPr>
          <w:i/>
          <w:iCs/>
        </w:rPr>
        <w:t>Diabetes &amp; Metabolism Journal</w:t>
      </w:r>
      <w:r w:rsidRPr="008C55B5">
        <w:t>, 45(4), pp. 515–525. doi: 10.4093/dmj.2020.0081.</w:t>
      </w:r>
    </w:p>
    <w:p w14:paraId="361909BC" w14:textId="77777777" w:rsidR="00A14CCD" w:rsidRPr="008C55B5" w:rsidRDefault="00000000" w:rsidP="00A96347">
      <w:pPr>
        <w:spacing w:after="200" w:line="360" w:lineRule="auto"/>
        <w:ind w:left="720" w:hanging="720"/>
      </w:pPr>
      <w:r w:rsidRPr="008C55B5">
        <w:t xml:space="preserve">Ribeiro, M.T., Singh, S. and Guestrin, C. (2016) '"Why Should I Trust You?": Explaining the Predictions of Any Classifier', in </w:t>
      </w:r>
      <w:r w:rsidRPr="008C55B5">
        <w:rPr>
          <w:i/>
          <w:iCs/>
        </w:rPr>
        <w:t>Proceedings of the 22nd ACM SIGKDD International Conference on Knowledge Discovery and Data Mining (KDD '16)</w:t>
      </w:r>
      <w:r w:rsidRPr="008C55B5">
        <w:t>, pp. 1135–1144.</w:t>
      </w:r>
    </w:p>
    <w:p w14:paraId="7997443D" w14:textId="77777777" w:rsidR="00A14CCD" w:rsidRPr="008C55B5" w:rsidRDefault="00000000" w:rsidP="00A96347">
      <w:pPr>
        <w:spacing w:after="200" w:line="360" w:lineRule="auto"/>
        <w:ind w:left="720" w:hanging="720"/>
      </w:pPr>
      <w:r w:rsidRPr="008C55B5">
        <w:t xml:space="preserve">Sutton, R.T., Pincock, D., Baumgart, D.C. et al. (2020) 'An overview of clinical decision support systems: benefits, risks, and strategies for success', </w:t>
      </w:r>
      <w:r w:rsidRPr="008C55B5">
        <w:rPr>
          <w:i/>
          <w:iCs/>
        </w:rPr>
        <w:t>NPJ Digital Medicine</w:t>
      </w:r>
      <w:r w:rsidRPr="008C55B5">
        <w:t>, 3, p. 17. doi: 10.1038/s41746-020-0221-y.</w:t>
      </w:r>
    </w:p>
    <w:p w14:paraId="3B21DB49" w14:textId="77777777" w:rsidR="00A14CCD" w:rsidRPr="008C55B5" w:rsidRDefault="00000000" w:rsidP="00A96347">
      <w:pPr>
        <w:spacing w:after="200" w:line="360" w:lineRule="auto"/>
        <w:ind w:left="720" w:hanging="720"/>
      </w:pPr>
      <w:r w:rsidRPr="008C55B5">
        <w:t xml:space="preserve">Ukoba, O., Joseph, U.O., Charles, O.L., Peter-Kio, B.O., Omamuyovwi, A.E. and Matilda, O.-N. (2025) 'A systematic review of machine learning methods for diabetes mellitus prediction and classification in Nigeria', </w:t>
      </w:r>
      <w:r w:rsidRPr="008C55B5">
        <w:rPr>
          <w:i/>
          <w:iCs/>
        </w:rPr>
        <w:t>International Journal of Community Medicine and Public Health</w:t>
      </w:r>
      <w:r w:rsidRPr="008C55B5">
        <w:t>, 12(6), pp. 2828–2835. doi: 10.18203/2394-6040.ijcmph20251734.</w:t>
      </w:r>
    </w:p>
    <w:p w14:paraId="1CE65491" w14:textId="77777777" w:rsidR="00A14CCD" w:rsidRPr="004F13C4" w:rsidRDefault="00000000" w:rsidP="00A96347">
      <w:pPr>
        <w:spacing w:after="200" w:line="360" w:lineRule="auto"/>
        <w:ind w:left="720" w:hanging="720"/>
      </w:pPr>
      <w:r w:rsidRPr="008C55B5">
        <w:t xml:space="preserve">Wright, A., Sittig, D.F., Ash, J.S., Sharma, S., Pang, J.E. and Middleton, B. (2009) 'Clinical decision support capabilities of commercially available clinical information systems', </w:t>
      </w:r>
      <w:r w:rsidRPr="008C55B5">
        <w:rPr>
          <w:i/>
          <w:iCs/>
        </w:rPr>
        <w:t>Journal of the American Medical Informatics Association</w:t>
      </w:r>
      <w:r w:rsidRPr="008C55B5">
        <w:t>, 16(5), pp. 637–644. doi: 10.1197/jamia.M3111.</w:t>
      </w:r>
    </w:p>
    <w:sectPr w:rsidR="00A14CCD" w:rsidRPr="004F13C4" w:rsidSect="00A96347">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1259" w14:textId="77777777" w:rsidR="000F6AB3" w:rsidRDefault="000F6AB3">
      <w:r>
        <w:separator/>
      </w:r>
    </w:p>
  </w:endnote>
  <w:endnote w:type="continuationSeparator" w:id="0">
    <w:p w14:paraId="66ED9941" w14:textId="77777777" w:rsidR="000F6AB3" w:rsidRDefault="000F6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37BF4" w14:textId="2F81F42E" w:rsidR="00F30D62" w:rsidRDefault="00F30D62">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064CB" w14:textId="77777777" w:rsidR="000F6AB3" w:rsidRDefault="000F6AB3">
      <w:r>
        <w:separator/>
      </w:r>
    </w:p>
  </w:footnote>
  <w:footnote w:type="continuationSeparator" w:id="0">
    <w:p w14:paraId="34E145A3" w14:textId="77777777" w:rsidR="000F6AB3" w:rsidRDefault="000F6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28F7" w14:textId="0BE4C5DA" w:rsidR="00506DFD" w:rsidRDefault="00506DFD">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3C84"/>
    <w:multiLevelType w:val="hybridMultilevel"/>
    <w:tmpl w:val="BAF859A0"/>
    <w:lvl w:ilvl="0" w:tplc="A5A4F88E">
      <w:start w:val="1"/>
      <w:numFmt w:val="bullet"/>
      <w:lvlText w:val="●"/>
      <w:lvlJc w:val="left"/>
      <w:pPr>
        <w:ind w:left="720" w:hanging="360"/>
      </w:pPr>
    </w:lvl>
    <w:lvl w:ilvl="1" w:tplc="0DDAA5F0">
      <w:start w:val="1"/>
      <w:numFmt w:val="bullet"/>
      <w:lvlText w:val="○"/>
      <w:lvlJc w:val="left"/>
      <w:pPr>
        <w:ind w:left="1440" w:hanging="360"/>
      </w:pPr>
    </w:lvl>
    <w:lvl w:ilvl="2" w:tplc="702A6DCE">
      <w:start w:val="1"/>
      <w:numFmt w:val="bullet"/>
      <w:lvlText w:val="■"/>
      <w:lvlJc w:val="left"/>
      <w:pPr>
        <w:ind w:left="2160" w:hanging="360"/>
      </w:pPr>
    </w:lvl>
    <w:lvl w:ilvl="3" w:tplc="09C6755E">
      <w:start w:val="1"/>
      <w:numFmt w:val="bullet"/>
      <w:lvlText w:val="●"/>
      <w:lvlJc w:val="left"/>
      <w:pPr>
        <w:ind w:left="2880" w:hanging="360"/>
      </w:pPr>
    </w:lvl>
    <w:lvl w:ilvl="4" w:tplc="125829E0">
      <w:start w:val="1"/>
      <w:numFmt w:val="bullet"/>
      <w:lvlText w:val="○"/>
      <w:lvlJc w:val="left"/>
      <w:pPr>
        <w:ind w:left="3600" w:hanging="360"/>
      </w:pPr>
    </w:lvl>
    <w:lvl w:ilvl="5" w:tplc="D1AC40CA">
      <w:start w:val="1"/>
      <w:numFmt w:val="bullet"/>
      <w:lvlText w:val="■"/>
      <w:lvlJc w:val="left"/>
      <w:pPr>
        <w:ind w:left="4320" w:hanging="360"/>
      </w:pPr>
    </w:lvl>
    <w:lvl w:ilvl="6" w:tplc="F9CEF56C">
      <w:start w:val="1"/>
      <w:numFmt w:val="bullet"/>
      <w:lvlText w:val="●"/>
      <w:lvlJc w:val="left"/>
      <w:pPr>
        <w:ind w:left="5040" w:hanging="360"/>
      </w:pPr>
    </w:lvl>
    <w:lvl w:ilvl="7" w:tplc="CA76C306">
      <w:start w:val="1"/>
      <w:numFmt w:val="bullet"/>
      <w:lvlText w:val="●"/>
      <w:lvlJc w:val="left"/>
      <w:pPr>
        <w:ind w:left="5760" w:hanging="360"/>
      </w:pPr>
    </w:lvl>
    <w:lvl w:ilvl="8" w:tplc="63C84C4E">
      <w:start w:val="1"/>
      <w:numFmt w:val="bullet"/>
      <w:lvlText w:val="●"/>
      <w:lvlJc w:val="left"/>
      <w:pPr>
        <w:ind w:left="6480" w:hanging="360"/>
      </w:pPr>
    </w:lvl>
  </w:abstractNum>
  <w:num w:numId="1" w16cid:durableId="1462260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CCD"/>
    <w:rsid w:val="00026D12"/>
    <w:rsid w:val="00060E22"/>
    <w:rsid w:val="00071B4B"/>
    <w:rsid w:val="000A3DC3"/>
    <w:rsid w:val="000F6AB3"/>
    <w:rsid w:val="001229AB"/>
    <w:rsid w:val="00183345"/>
    <w:rsid w:val="001C4141"/>
    <w:rsid w:val="001E0B72"/>
    <w:rsid w:val="002A7695"/>
    <w:rsid w:val="0036616F"/>
    <w:rsid w:val="004E73D3"/>
    <w:rsid w:val="004E7C3D"/>
    <w:rsid w:val="004F13C4"/>
    <w:rsid w:val="00506DFD"/>
    <w:rsid w:val="00546A53"/>
    <w:rsid w:val="00552636"/>
    <w:rsid w:val="00594B09"/>
    <w:rsid w:val="005B7501"/>
    <w:rsid w:val="00681153"/>
    <w:rsid w:val="00741917"/>
    <w:rsid w:val="008013DF"/>
    <w:rsid w:val="008A647A"/>
    <w:rsid w:val="008C55B5"/>
    <w:rsid w:val="009426C0"/>
    <w:rsid w:val="00991FBF"/>
    <w:rsid w:val="00995EF6"/>
    <w:rsid w:val="00A11732"/>
    <w:rsid w:val="00A14CCD"/>
    <w:rsid w:val="00A1510F"/>
    <w:rsid w:val="00A86AFD"/>
    <w:rsid w:val="00A96347"/>
    <w:rsid w:val="00B274FF"/>
    <w:rsid w:val="00B843A0"/>
    <w:rsid w:val="00BC4F37"/>
    <w:rsid w:val="00BF0283"/>
    <w:rsid w:val="00C431B8"/>
    <w:rsid w:val="00CE09FD"/>
    <w:rsid w:val="00D1667E"/>
    <w:rsid w:val="00F30D62"/>
    <w:rsid w:val="00F32F8A"/>
    <w:rsid w:val="00F9196A"/>
    <w:rsid w:val="00FC665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ECA87"/>
  <w15:docId w15:val="{D209D835-339B-4BA8-8125-E2E218E1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13C4"/>
    <w:pPr>
      <w:tabs>
        <w:tab w:val="center" w:pos="4513"/>
        <w:tab w:val="right" w:pos="9026"/>
      </w:tabs>
    </w:pPr>
  </w:style>
  <w:style w:type="character" w:customStyle="1" w:styleId="HeaderChar">
    <w:name w:val="Header Char"/>
    <w:basedOn w:val="DefaultParagraphFont"/>
    <w:link w:val="Header"/>
    <w:uiPriority w:val="99"/>
    <w:rsid w:val="004F13C4"/>
  </w:style>
  <w:style w:type="paragraph" w:styleId="Footer">
    <w:name w:val="footer"/>
    <w:basedOn w:val="Normal"/>
    <w:link w:val="FooterChar"/>
    <w:uiPriority w:val="99"/>
    <w:unhideWhenUsed/>
    <w:rsid w:val="004F13C4"/>
    <w:pPr>
      <w:tabs>
        <w:tab w:val="center" w:pos="4513"/>
        <w:tab w:val="right" w:pos="9026"/>
      </w:tabs>
    </w:pPr>
  </w:style>
  <w:style w:type="character" w:customStyle="1" w:styleId="FooterChar">
    <w:name w:val="Footer Char"/>
    <w:basedOn w:val="DefaultParagraphFont"/>
    <w:link w:val="Footer"/>
    <w:uiPriority w:val="99"/>
    <w:rsid w:val="004F13C4"/>
  </w:style>
  <w:style w:type="paragraph" w:styleId="NormalWeb">
    <w:name w:val="Normal (Web)"/>
    <w:basedOn w:val="Normal"/>
    <w:uiPriority w:val="99"/>
    <w:unhideWhenUsed/>
    <w:rsid w:val="001C4141"/>
    <w:pPr>
      <w:spacing w:before="100" w:beforeAutospacing="1" w:after="100" w:afterAutospacing="1"/>
    </w:pPr>
    <w:rPr>
      <w:lang w:val="en-GB" w:eastAsia="en-GB"/>
    </w:rPr>
  </w:style>
  <w:style w:type="paragraph" w:styleId="TOCHeading">
    <w:name w:val="TOC Heading"/>
    <w:basedOn w:val="Heading1"/>
    <w:next w:val="Normal"/>
    <w:uiPriority w:val="39"/>
    <w:unhideWhenUsed/>
    <w:qFormat/>
    <w:rsid w:val="00F32F8A"/>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F32F8A"/>
    <w:pPr>
      <w:spacing w:after="100"/>
    </w:pPr>
  </w:style>
  <w:style w:type="paragraph" w:styleId="TOC2">
    <w:name w:val="toc 2"/>
    <w:basedOn w:val="Normal"/>
    <w:next w:val="Normal"/>
    <w:autoRedefine/>
    <w:uiPriority w:val="39"/>
    <w:unhideWhenUsed/>
    <w:rsid w:val="00F32F8A"/>
    <w:pPr>
      <w:spacing w:after="100"/>
      <w:ind w:left="240"/>
    </w:pPr>
  </w:style>
  <w:style w:type="character" w:customStyle="1" w:styleId="cursor-pointer">
    <w:name w:val="cursor-pointer"/>
    <w:basedOn w:val="DefaultParagraphFont"/>
    <w:rsid w:val="00552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88C18-F2DB-42C6-844F-FE9D852BA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9029</Words>
  <Characters>51468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wahab</dc:creator>
  <cp:lastModifiedBy>abdul wahab</cp:lastModifiedBy>
  <cp:revision>2</cp:revision>
  <dcterms:created xsi:type="dcterms:W3CDTF">2026-09-09T15:10:00Z</dcterms:created>
  <dcterms:modified xsi:type="dcterms:W3CDTF">2026-09-09T15:10:00Z</dcterms:modified>
</cp:coreProperties>
</file>