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Lead Backend Engineer | Java | Spring Boot | PostgreSQL | Technical Leadership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+8801912070224 | imran110219@gmail.com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Senior Software Engineer with 9+ years of experience delivering secure, scalable Java backend systems across government, education, healthcare, and enterprise domains. Combines hands-on Spring Boot, PostgreSQL, API, and distributed-systems delivery with backend team leadership, planning, mentoring, code review, and stakeholder collaboration.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Served as backend team lead, contributing to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internal election-management platform supporting 50,000 users and approximately 100,000 daily requests during election periods.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exam-management system response time by 30% through Redis caching and backend performance improvements.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Leadership &amp; Delivery: Technical mentoring, grooming, planning, code review, stakeholder collaboration, Agile development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Backend &amp; Architecture: Java, Spring Boot, Hibernate, REST APIs, Microservices, Backend Architecture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Performance: PostgreSQL, SQL Server, Redis, Database Modeling, Query Optimization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Security &amp; Platform: Keycloak, Authentication, Authorization, Kubernetes, Data Integrity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backend engineering activities for an Election Management System,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Designed service interactions and REST API contracts across a microservices architecture of nearly 25 services, delivering secure, scalable Java and Spring Boot 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 deliver an internal system supporting 50,000 users alongside a public-facing application that does not require authentication.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 Kubernetes deployments to the organization's self-managed data center and digitized election-result workflows previously dependent on paperwork and physical result delivery.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analyzed requirements and designed its database schema.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 real-time administrator dashboard that contributed to a 40% increase in system usage and user satisfaction.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Deployed a production system used by 2,500+ administrators, 1,000 invigilators, and 1,000 examinees; supported registration and payment management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for the National Electronic Government Procurement System while preserving data privacy and integrity.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large-file upload capabilities, relational data modeling, enterprise workflow features, and stakeholder-aligned delivery.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