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combining hands-on Java and Spring Boot delivery with backend technical leadership, planning, mentoring, code review, and stakeholder collaboration across government, education, healthcare, and enterprise domains.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