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Lead Backend Engineer | Java | Spring Boot | PostgreSQL | Technical Leadership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sadmansobhan@gmail.com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combining hands-on Java and Spring Boot delivery with backend technical leadership, planning, mentoring, code review, and stakeholder collaboration across government, education, healthcare, and enterprise domains.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lead,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Delivery: Technical mentoring, grooming, planning, code review, stakeholder collaboration, Agile development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 &amp; Architecture: Java, Spring Boot, Hibernate, REST APIs, RabbitMQ,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Performance: PostgreSQL, SQL Server, Redis,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Platform: Keycloak, Authentication, Authorization, Kubernetes, Nginx, CI/CD, GitHub Actions, Jenkins, Locust, Data Integrity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application-level routing of center and polling-personnel search reads to PostgreSQL read replicas, improving search responsiveness and reducing load on the primary transactional database.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15 production deployments during the three months preceding elections and configured SonarQube quality gates and Trivy dependency-vulnerability scanning in CI/CD.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Jenkins for CI/CD and Locust for load testing.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2,500+ administrators, 1,000 invigilators, and 1,000 examinees; supported registration and payment management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large-file upload capabilities, relational data modeling, enterprise workflow features, and stakeholder-aligned delivery.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and maintained a large-scale education application using ASP.NET, C#, and SQL Server, including stored procedures, triggers, and views.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platform; built a documented Spring Boot REST API with Redis, Keycloak authorization, MinIO, Liquibase, and Docker.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editorial platform, including the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