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Contact via LinkedIn</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Contributed to backend design and delivery across an election platform comprising nearly 25 running services.</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 service interactions and REST API contracts across a microservices architecture of nearly 25 services, delivering secure, scalable Java and Spring Boot services.</w:t>
      </w:r>
    </w:p>
    <w:p>
      <w:pPr>
        <w:spacing w:after="36" w:line="245" w:lineRule="auto"/>
        <w:ind w:left="245" w:hanging="187"/>
        <w:keepLines/>
      </w:pPr>
      <w:r>
        <w:rPr>
          <w:color w:val="1B375C"/>
        </w:rPr>
        <w:t xml:space="preserve">•  </w:t>
      </w:r>
      <w:r>
        <w:t>Contribute to delivery of an internal system reported to support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 election-result workflows previously dependent on paperwork and physical result delivery.</w:t>
      </w:r>
    </w:p>
    <w:p>
      <w:pPr>
        <w:spacing w:after="36" w:line="245" w:lineRule="auto"/>
        <w:ind w:left="245" w:hanging="187"/>
        <w:keepLines/>
      </w:pPr>
      <w:r>
        <w:rPr>
          <w:color w:val="1B375C"/>
        </w:rPr>
        <w:t xml:space="preserve">•  </w:t>
      </w:r>
      <w:r>
        <w:t>Lead backend engineering activities, including task allocation, grooming, planning, implementation guidance, and code reviews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associated with a reported 40% increase in system usage.</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