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52E" w:rsidRPr="0009052E" w:rsidRDefault="0009052E" w:rsidP="0009052E">
      <w:pPr>
        <w:pStyle w:val="Heading1"/>
        <w:rPr>
          <w:color w:val="auto"/>
        </w:rPr>
      </w:pPr>
      <w:r w:rsidRPr="0009052E">
        <w:rPr>
          <w:color w:val="auto"/>
        </w:rPr>
        <w:t>CEE - 6490 Integrated River Basin/Watershed Planning and Management</w:t>
      </w:r>
    </w:p>
    <w:p w:rsidR="0009052E" w:rsidRPr="0009052E" w:rsidRDefault="0009052E" w:rsidP="0009052E"/>
    <w:p w:rsidR="0009052E" w:rsidRPr="0009052E" w:rsidRDefault="0009052E" w:rsidP="0009052E">
      <w:pPr>
        <w:pStyle w:val="Heading2"/>
        <w:rPr>
          <w:color w:val="auto"/>
        </w:rPr>
      </w:pPr>
      <w:r w:rsidRPr="0009052E">
        <w:rPr>
          <w:color w:val="auto"/>
        </w:rPr>
        <w:t>Water Demand and Supply Model</w:t>
      </w:r>
      <w:r w:rsidR="000C4A8E">
        <w:rPr>
          <w:color w:val="auto"/>
        </w:rPr>
        <w:t>ling</w:t>
      </w:r>
      <w:r w:rsidRPr="0009052E">
        <w:rPr>
          <w:color w:val="auto"/>
        </w:rPr>
        <w:t xml:space="preserve"> for Logan City </w:t>
      </w:r>
    </w:p>
    <w:p w:rsidR="0009052E" w:rsidRPr="0009052E" w:rsidRDefault="0009052E" w:rsidP="0009052E">
      <w:pPr>
        <w:pStyle w:val="Heading3"/>
        <w:rPr>
          <w:color w:val="auto"/>
        </w:rPr>
      </w:pPr>
      <w:r w:rsidRPr="0009052E">
        <w:rPr>
          <w:color w:val="auto"/>
        </w:rPr>
        <w:t>Project Progress Report</w:t>
      </w:r>
    </w:p>
    <w:p w:rsidR="0009052E" w:rsidRDefault="0009052E" w:rsidP="0009052E"/>
    <w:p w:rsidR="0009052E" w:rsidRDefault="0009052E" w:rsidP="0009052E">
      <w:r>
        <w:t xml:space="preserve">Submitted by: </w:t>
      </w:r>
      <w:proofErr w:type="spellStart"/>
      <w:r>
        <w:t>Nour</w:t>
      </w:r>
      <w:proofErr w:type="spellEnd"/>
      <w:r>
        <w:t xml:space="preserve"> A. </w:t>
      </w:r>
      <w:proofErr w:type="spellStart"/>
      <w:r>
        <w:t>Atallah</w:t>
      </w:r>
      <w:proofErr w:type="spellEnd"/>
      <w:r>
        <w:t xml:space="preserve"> </w:t>
      </w:r>
    </w:p>
    <w:p w:rsidR="0009052E" w:rsidRDefault="0009052E" w:rsidP="0009052E">
      <w:r>
        <w:tab/>
        <w:t xml:space="preserve">            </w:t>
      </w:r>
      <w:proofErr w:type="spellStart"/>
      <w:r>
        <w:t>Mohamad</w:t>
      </w:r>
      <w:proofErr w:type="spellEnd"/>
      <w:r>
        <w:t xml:space="preserve"> Imran</w:t>
      </w:r>
    </w:p>
    <w:p w:rsidR="0009052E" w:rsidRDefault="0009052E" w:rsidP="0009052E">
      <w:r>
        <w:t>Instructor: Dr. David Rosenberg</w:t>
      </w:r>
    </w:p>
    <w:p w:rsidR="0009052E" w:rsidRPr="0009052E" w:rsidRDefault="0009052E" w:rsidP="0009052E">
      <w:r>
        <w:t>Submission: 03/01/2016</w:t>
      </w:r>
    </w:p>
    <w:p w:rsidR="00984F25" w:rsidRPr="0009052E" w:rsidRDefault="0009052E" w:rsidP="0009052E">
      <w:pPr>
        <w:tabs>
          <w:tab w:val="left" w:pos="1155"/>
        </w:tabs>
        <w:sectPr w:rsidR="00984F25" w:rsidRPr="0009052E" w:rsidSect="00984F25">
          <w:footerReference w:type="default" r:id="rId8"/>
          <w:type w:val="continuous"/>
          <w:pgSz w:w="11907" w:h="16839" w:code="9"/>
          <w:pgMar w:top="1440" w:right="1440" w:bottom="1440" w:left="1440" w:header="720" w:footer="720" w:gutter="0"/>
          <w:cols w:space="720"/>
          <w:titlePg/>
          <w:docGrid w:linePitch="360"/>
        </w:sectPr>
      </w:pPr>
      <w:r>
        <w:tab/>
      </w:r>
    </w:p>
    <w:p w:rsidR="00235117" w:rsidRDefault="00235117" w:rsidP="006D63A8">
      <w:pPr>
        <w:pStyle w:val="Heading2"/>
        <w:spacing w:before="120" w:after="120"/>
      </w:pPr>
      <w:r>
        <w:lastRenderedPageBreak/>
        <w:t>Introduction</w:t>
      </w:r>
    </w:p>
    <w:p w:rsidR="00235117" w:rsidRPr="00ED6440" w:rsidRDefault="008433CC" w:rsidP="006D63A8">
      <w:pPr>
        <w:spacing w:before="120" w:after="120"/>
        <w:rPr>
          <w:szCs w:val="24"/>
        </w:rPr>
      </w:pPr>
      <w:r w:rsidRPr="00ED6440">
        <w:rPr>
          <w:szCs w:val="24"/>
        </w:rPr>
        <w:t xml:space="preserve">Urban areas are continuously changing with time in demographic and economic development context and to keep the development safe adequate supply of water plays an important role. Planning and management of water in urban areas is challenge. </w:t>
      </w:r>
      <w:r w:rsidR="00777754" w:rsidRPr="00ED6440">
        <w:rPr>
          <w:szCs w:val="24"/>
        </w:rPr>
        <w:t>Logan city in Utah, second driest state in United States providing adequate water supply becomes a concern due to unpredictable weather and droughts.</w:t>
      </w:r>
      <w:r w:rsidR="00417FC8" w:rsidRPr="00ED6440">
        <w:rPr>
          <w:szCs w:val="24"/>
        </w:rPr>
        <w:t xml:space="preserve"> </w:t>
      </w:r>
      <w:r w:rsidR="00235117" w:rsidRPr="00ED6440">
        <w:rPr>
          <w:szCs w:val="24"/>
        </w:rPr>
        <w:t>Management alternatives and trade-offs need to be introduced to help decision makers managing their available resources more effectively. Such alternatives need to be based on a systematic planning process that incorporates defining problems, collecting background data, setting performance metrics, identifying alternatives and then selecting interventions b</w:t>
      </w:r>
      <w:r w:rsidR="00BF7EF0" w:rsidRPr="00ED6440">
        <w:rPr>
          <w:szCs w:val="24"/>
        </w:rPr>
        <w:t>ased on the performance metrics</w:t>
      </w:r>
      <w:sdt>
        <w:sdtPr>
          <w:rPr>
            <w:szCs w:val="24"/>
          </w:rPr>
          <w:id w:val="-1124376908"/>
          <w:citation/>
        </w:sdtPr>
        <w:sdtEndPr/>
        <w:sdtContent>
          <w:r w:rsidR="00BF7EF0" w:rsidRPr="00ED6440">
            <w:rPr>
              <w:szCs w:val="24"/>
            </w:rPr>
            <w:fldChar w:fldCharType="begin"/>
          </w:r>
          <w:r w:rsidR="00BF7EF0" w:rsidRPr="00ED6440">
            <w:rPr>
              <w:szCs w:val="24"/>
            </w:rPr>
            <w:instrText xml:space="preserve"> CITATION Jay081 \l 1033 </w:instrText>
          </w:r>
          <w:r w:rsidR="00BF7EF0" w:rsidRPr="00ED6440">
            <w:rPr>
              <w:szCs w:val="24"/>
            </w:rPr>
            <w:fldChar w:fldCharType="separate"/>
          </w:r>
          <w:r w:rsidR="00EB05C5" w:rsidRPr="00ED6440">
            <w:rPr>
              <w:noProof/>
              <w:szCs w:val="24"/>
            </w:rPr>
            <w:t xml:space="preserve"> (1)</w:t>
          </w:r>
          <w:r w:rsidR="00BF7EF0" w:rsidRPr="00ED6440">
            <w:rPr>
              <w:szCs w:val="24"/>
            </w:rPr>
            <w:fldChar w:fldCharType="end"/>
          </w:r>
        </w:sdtContent>
      </w:sdt>
      <w:r w:rsidR="00235117" w:rsidRPr="00ED6440">
        <w:rPr>
          <w:szCs w:val="24"/>
        </w:rPr>
        <w:t xml:space="preserve">. </w:t>
      </w:r>
    </w:p>
    <w:p w:rsidR="00235117" w:rsidRPr="00ED6440" w:rsidRDefault="00A642F8" w:rsidP="006D63A8">
      <w:pPr>
        <w:spacing w:before="120" w:after="120"/>
        <w:rPr>
          <w:szCs w:val="24"/>
        </w:rPr>
      </w:pPr>
      <w:r w:rsidRPr="00ED6440">
        <w:rPr>
          <w:szCs w:val="24"/>
        </w:rPr>
        <w:t>This</w:t>
      </w:r>
      <w:r w:rsidR="00235117" w:rsidRPr="00ED6440">
        <w:rPr>
          <w:szCs w:val="24"/>
        </w:rPr>
        <w:t xml:space="preserve"> is </w:t>
      </w:r>
      <w:r w:rsidRPr="00ED6440">
        <w:rPr>
          <w:szCs w:val="24"/>
        </w:rPr>
        <w:t xml:space="preserve">semester project </w:t>
      </w:r>
      <w:r w:rsidR="00235117" w:rsidRPr="00ED6440">
        <w:rPr>
          <w:szCs w:val="24"/>
        </w:rPr>
        <w:t xml:space="preserve">progress report of the class </w:t>
      </w:r>
      <w:r w:rsidR="00235117" w:rsidRPr="00ED6440">
        <w:rPr>
          <w:iCs/>
          <w:szCs w:val="24"/>
        </w:rPr>
        <w:t>Integrated River Basin/ Watershed Planning and Management</w:t>
      </w:r>
      <w:r w:rsidR="00235117" w:rsidRPr="00ED6440">
        <w:rPr>
          <w:szCs w:val="24"/>
        </w:rPr>
        <w:t>, where the concepts of rational  planning are used to manage available water resources in the Logan City in Cache County to meet the 2050 Municipal and Industrial (M&amp;I) future demand.</w:t>
      </w:r>
    </w:p>
    <w:p w:rsidR="00235117" w:rsidRPr="00F151DD" w:rsidRDefault="00235117" w:rsidP="006D63A8">
      <w:pPr>
        <w:pStyle w:val="Heading2"/>
        <w:spacing w:before="120" w:after="120"/>
      </w:pPr>
      <w:r>
        <w:t>Stakeholder</w:t>
      </w:r>
    </w:p>
    <w:p w:rsidR="00235117" w:rsidRPr="00ED6440" w:rsidRDefault="00235117" w:rsidP="006D63A8">
      <w:pPr>
        <w:spacing w:before="120" w:after="120"/>
        <w:rPr>
          <w:szCs w:val="24"/>
        </w:rPr>
      </w:pPr>
      <w:r w:rsidRPr="00ED6440">
        <w:rPr>
          <w:szCs w:val="24"/>
        </w:rPr>
        <w:t>Logan City was founded in 1859 and is located in Cache County, Utah. According to the </w:t>
      </w:r>
      <w:hyperlink r:id="rId9" w:tooltip="United States Census Bureau" w:history="1">
        <w:r w:rsidRPr="00ED6440">
          <w:rPr>
            <w:szCs w:val="24"/>
          </w:rPr>
          <w:t>United States Census Bureau</w:t>
        </w:r>
      </w:hyperlink>
      <w:r w:rsidRPr="00ED6440">
        <w:rPr>
          <w:szCs w:val="24"/>
        </w:rPr>
        <w:t>, the city has a total area of 18.5 square miles (48.0 km</w:t>
      </w:r>
      <w:r w:rsidRPr="00ED6440">
        <w:rPr>
          <w:szCs w:val="24"/>
          <w:vertAlign w:val="superscript"/>
        </w:rPr>
        <w:t>2</w:t>
      </w:r>
      <w:r w:rsidRPr="00ED6440">
        <w:rPr>
          <w:szCs w:val="24"/>
        </w:rPr>
        <w:t>), of which 18.0 square miles (46.5 km</w:t>
      </w:r>
      <w:r w:rsidRPr="00ED6440">
        <w:rPr>
          <w:szCs w:val="24"/>
          <w:vertAlign w:val="superscript"/>
        </w:rPr>
        <w:t>2</w:t>
      </w:r>
      <w:r w:rsidRPr="00ED6440">
        <w:rPr>
          <w:szCs w:val="24"/>
        </w:rPr>
        <w:t>) is land and 0.58 square miles (1.5 km</w:t>
      </w:r>
      <w:r w:rsidRPr="00ED6440">
        <w:rPr>
          <w:szCs w:val="24"/>
          <w:vertAlign w:val="superscript"/>
        </w:rPr>
        <w:t>2</w:t>
      </w:r>
      <w:r w:rsidRPr="00ED6440">
        <w:rPr>
          <w:szCs w:val="24"/>
        </w:rPr>
        <w:t>), or 3.16%, is water. Logan has a </w:t>
      </w:r>
      <w:hyperlink r:id="rId10" w:tooltip="Humid continental climate" w:history="1">
        <w:r w:rsidRPr="00ED6440">
          <w:rPr>
            <w:szCs w:val="24"/>
          </w:rPr>
          <w:t>humid continental climate</w:t>
        </w:r>
      </w:hyperlink>
      <w:r w:rsidRPr="00ED6440">
        <w:rPr>
          <w:szCs w:val="24"/>
        </w:rPr>
        <w:t> with very warm though usually dry summers and cold winters with moderate snowfall. Precipitation tends to be heaviest in the spring months</w:t>
      </w:r>
      <w:r w:rsidR="00EB05C5" w:rsidRPr="00ED6440">
        <w:rPr>
          <w:szCs w:val="24"/>
        </w:rPr>
        <w:t xml:space="preserve"> </w:t>
      </w:r>
      <w:sdt>
        <w:sdtPr>
          <w:rPr>
            <w:szCs w:val="24"/>
          </w:rPr>
          <w:id w:val="899250017"/>
          <w:citation/>
        </w:sdtPr>
        <w:sdtEndPr/>
        <w:sdtContent>
          <w:r w:rsidR="00EB05C5" w:rsidRPr="00ED6440">
            <w:rPr>
              <w:szCs w:val="24"/>
            </w:rPr>
            <w:fldChar w:fldCharType="begin"/>
          </w:r>
          <w:r w:rsidR="00EB05C5" w:rsidRPr="00ED6440">
            <w:rPr>
              <w:szCs w:val="24"/>
            </w:rPr>
            <w:instrText xml:space="preserve"> CITATION Wik16 \l 1033 </w:instrText>
          </w:r>
          <w:r w:rsidR="00EB05C5" w:rsidRPr="00ED6440">
            <w:rPr>
              <w:szCs w:val="24"/>
            </w:rPr>
            <w:fldChar w:fldCharType="separate"/>
          </w:r>
          <w:r w:rsidR="00EB05C5" w:rsidRPr="00ED6440">
            <w:rPr>
              <w:noProof/>
              <w:szCs w:val="24"/>
            </w:rPr>
            <w:t>(2)</w:t>
          </w:r>
          <w:r w:rsidR="00EB05C5" w:rsidRPr="00ED6440">
            <w:rPr>
              <w:szCs w:val="24"/>
            </w:rPr>
            <w:fldChar w:fldCharType="end"/>
          </w:r>
        </w:sdtContent>
      </w:sdt>
      <w:r w:rsidRPr="00ED6440">
        <w:rPr>
          <w:szCs w:val="24"/>
        </w:rPr>
        <w:t>.</w:t>
      </w:r>
    </w:p>
    <w:p w:rsidR="00235117" w:rsidRDefault="00235117" w:rsidP="006D63A8">
      <w:pPr>
        <w:pStyle w:val="Heading2"/>
        <w:spacing w:before="120" w:after="120"/>
        <w:rPr>
          <w:shd w:val="clear" w:color="auto" w:fill="FFFFFF"/>
        </w:rPr>
      </w:pPr>
      <w:r>
        <w:rPr>
          <w:shd w:val="clear" w:color="auto" w:fill="FFFFFF"/>
        </w:rPr>
        <w:t>Problem Statement</w:t>
      </w:r>
    </w:p>
    <w:p w:rsidR="00235117" w:rsidRPr="00E22194" w:rsidRDefault="00235117" w:rsidP="006D63A8">
      <w:pPr>
        <w:spacing w:before="120" w:after="120"/>
      </w:pPr>
      <w:r>
        <w:t>The city of Logan is experiencing growth that consistently exceeds population projections. Moreover, the city is the commercial and institutional hub of a growing metropolitan area with many outlying residential communities and also home to Utah State University. Logan city is composed of multiple water supply systems, most of which exceed current demand. However, the future population will result in that these will be nearly at or have already exceeded their supply capacity which triggers the need to explore different management alternatives in order to meet the projected future demands</w:t>
      </w:r>
      <w:r w:rsidR="00EB05C5">
        <w:t xml:space="preserve"> </w:t>
      </w:r>
      <w:sdt>
        <w:sdtPr>
          <w:id w:val="45725960"/>
          <w:citation/>
        </w:sdtPr>
        <w:sdtEndPr/>
        <w:sdtContent>
          <w:r w:rsidR="00EB05C5">
            <w:fldChar w:fldCharType="begin"/>
          </w:r>
          <w:r w:rsidR="00EB05C5">
            <w:instrText xml:space="preserve"> CITATION Log151 \l 1033 </w:instrText>
          </w:r>
          <w:r w:rsidR="00EB05C5">
            <w:fldChar w:fldCharType="separate"/>
          </w:r>
          <w:r w:rsidR="00EB05C5">
            <w:rPr>
              <w:noProof/>
            </w:rPr>
            <w:t>(3)</w:t>
          </w:r>
          <w:r w:rsidR="00EB05C5">
            <w:fldChar w:fldCharType="end"/>
          </w:r>
        </w:sdtContent>
      </w:sdt>
    </w:p>
    <w:p w:rsidR="00235117" w:rsidRPr="00C24967" w:rsidRDefault="00235117" w:rsidP="006D63A8">
      <w:pPr>
        <w:pStyle w:val="Heading2"/>
        <w:spacing w:before="120" w:after="120"/>
      </w:pPr>
      <w:r w:rsidRPr="00C24967">
        <w:t>Research Objectives</w:t>
      </w:r>
    </w:p>
    <w:p w:rsidR="00235117" w:rsidRPr="00C24967" w:rsidRDefault="00235117" w:rsidP="006D63A8">
      <w:pPr>
        <w:spacing w:before="120" w:after="120"/>
      </w:pPr>
      <w:r w:rsidRPr="00C24967">
        <w:t>The project will attempt to help water suppliers at the city of Logan to evaluate their current supply system. The project will illustrate some new technologies and strategies that can be used to improve the current water conservation plan. Moreover, a simulation model will be established to evaluate the reliability of the new system comparing to original one. The project main objectives are:</w:t>
      </w:r>
    </w:p>
    <w:p w:rsidR="00235117" w:rsidRDefault="00235117" w:rsidP="00DE0396">
      <w:pPr>
        <w:pStyle w:val="ListParagraph"/>
        <w:numPr>
          <w:ilvl w:val="0"/>
          <w:numId w:val="2"/>
        </w:numPr>
        <w:spacing w:before="120" w:after="120"/>
      </w:pPr>
      <w:r w:rsidRPr="00C24967">
        <w:t xml:space="preserve">Assess the current water supply system applied by Logan water providers.  </w:t>
      </w:r>
    </w:p>
    <w:p w:rsidR="00235117" w:rsidRDefault="00235117" w:rsidP="00DE0396">
      <w:pPr>
        <w:pStyle w:val="ListParagraph"/>
        <w:numPr>
          <w:ilvl w:val="0"/>
          <w:numId w:val="2"/>
        </w:numPr>
        <w:spacing w:before="120" w:after="120"/>
      </w:pPr>
      <w:r w:rsidRPr="00C24967">
        <w:t>Make recommendations for structural and non-structural improvements to existing water supply systems.</w:t>
      </w:r>
    </w:p>
    <w:p w:rsidR="00235117" w:rsidRDefault="00235117" w:rsidP="00DE0396">
      <w:pPr>
        <w:pStyle w:val="ListParagraph"/>
        <w:numPr>
          <w:ilvl w:val="0"/>
          <w:numId w:val="2"/>
        </w:numPr>
        <w:spacing w:before="120" w:after="120"/>
      </w:pPr>
      <w:r w:rsidRPr="00C24967">
        <w:lastRenderedPageBreak/>
        <w:t>Examine the reliability, resilience and vulnerability of the new and the current systems to check how much the new system will improve the current situation.</w:t>
      </w:r>
    </w:p>
    <w:p w:rsidR="00235117" w:rsidRPr="00F151DD" w:rsidRDefault="00235117" w:rsidP="006D63A8">
      <w:pPr>
        <w:pStyle w:val="Heading2"/>
        <w:spacing w:before="120" w:after="120"/>
      </w:pPr>
      <w:r>
        <w:t>Scope of Work</w:t>
      </w:r>
    </w:p>
    <w:p w:rsidR="00235117" w:rsidRDefault="00235117" w:rsidP="006D63A8">
      <w:pPr>
        <w:spacing w:before="120" w:after="120"/>
      </w:pPr>
      <w:r>
        <w:t xml:space="preserve">The scope of work for this project is within Logan city boundary as shown in Appendix II. The project will account for M&amp;I demands and forecast such quantities in 2050. Agricultural water demands are </w:t>
      </w:r>
      <w:r w:rsidR="00C32291">
        <w:t>not</w:t>
      </w:r>
      <w:r>
        <w:t xml:space="preserve"> considered in the scope of this project. </w:t>
      </w:r>
    </w:p>
    <w:p w:rsidR="00235117" w:rsidRDefault="00235117" w:rsidP="006D63A8">
      <w:pPr>
        <w:pStyle w:val="Heading2"/>
        <w:spacing w:before="120" w:after="120"/>
      </w:pPr>
      <w:r>
        <w:t>Institutional Analysis</w:t>
      </w:r>
    </w:p>
    <w:p w:rsidR="00235117" w:rsidRPr="00DD29DF" w:rsidRDefault="00235117" w:rsidP="006D63A8">
      <w:pPr>
        <w:spacing w:before="120" w:after="120"/>
      </w:pPr>
      <w:r>
        <w:t xml:space="preserve">The </w:t>
      </w:r>
      <w:r w:rsidRPr="00DD29DF">
        <w:t xml:space="preserve">institutional analysis for Logan City </w:t>
      </w:r>
      <w:r>
        <w:t xml:space="preserve">is done </w:t>
      </w:r>
      <w:r w:rsidRPr="00DD29DF">
        <w:t xml:space="preserve">to assess behavior of </w:t>
      </w:r>
      <w:r>
        <w:t>various water users involved for water issues. This</w:t>
      </w:r>
      <w:r w:rsidRPr="00DD29DF">
        <w:t xml:space="preserve"> helps to identify constraints within an organization and relationships among organizations. </w:t>
      </w:r>
      <w:r>
        <w:t>Major organization and users of water in Logan city are listed;</w:t>
      </w:r>
    </w:p>
    <w:p w:rsidR="00235117" w:rsidRDefault="00235117" w:rsidP="00DE0396">
      <w:pPr>
        <w:pStyle w:val="ListParagraph"/>
        <w:numPr>
          <w:ilvl w:val="0"/>
          <w:numId w:val="6"/>
        </w:numPr>
        <w:spacing w:before="120" w:after="120"/>
      </w:pPr>
      <w:r w:rsidRPr="00DD29DF">
        <w:t xml:space="preserve">Logan city public works department </w:t>
      </w:r>
      <w:r>
        <w:t xml:space="preserve">- </w:t>
      </w:r>
      <w:r w:rsidRPr="00DD29DF">
        <w:t>responsible for water distribution, waste water collection, water quality monitoring and metering</w:t>
      </w:r>
    </w:p>
    <w:p w:rsidR="00235117" w:rsidRDefault="00235117" w:rsidP="00DE0396">
      <w:pPr>
        <w:pStyle w:val="ListParagraph"/>
        <w:numPr>
          <w:ilvl w:val="0"/>
          <w:numId w:val="6"/>
        </w:numPr>
        <w:spacing w:before="120" w:after="120"/>
      </w:pPr>
      <w:r>
        <w:t xml:space="preserve">Logan fire department </w:t>
      </w:r>
    </w:p>
    <w:p w:rsidR="00235117" w:rsidRDefault="00235117" w:rsidP="00DE0396">
      <w:pPr>
        <w:pStyle w:val="ListParagraph"/>
        <w:numPr>
          <w:ilvl w:val="0"/>
          <w:numId w:val="6"/>
        </w:numPr>
        <w:spacing w:before="120" w:after="120"/>
      </w:pPr>
      <w:r>
        <w:t>Residential users</w:t>
      </w:r>
    </w:p>
    <w:p w:rsidR="00235117" w:rsidRDefault="00235117" w:rsidP="00DE0396">
      <w:pPr>
        <w:pStyle w:val="ListParagraph"/>
        <w:numPr>
          <w:ilvl w:val="0"/>
          <w:numId w:val="6"/>
        </w:numPr>
        <w:spacing w:before="120" w:after="120"/>
      </w:pPr>
      <w:r>
        <w:t>Utah water right divisions</w:t>
      </w:r>
    </w:p>
    <w:p w:rsidR="00235117" w:rsidRPr="00156E28" w:rsidRDefault="00235117" w:rsidP="00DE0396">
      <w:pPr>
        <w:pStyle w:val="ListParagraph"/>
        <w:numPr>
          <w:ilvl w:val="0"/>
          <w:numId w:val="6"/>
        </w:numPr>
        <w:spacing w:before="120" w:after="120"/>
      </w:pPr>
      <w:r>
        <w:t>Utah State University</w:t>
      </w:r>
    </w:p>
    <w:p w:rsidR="00235117" w:rsidRPr="00C24967" w:rsidRDefault="00235117" w:rsidP="006D63A8">
      <w:pPr>
        <w:pStyle w:val="Heading2"/>
        <w:spacing w:before="120" w:after="120"/>
      </w:pPr>
      <w:r w:rsidRPr="00C24967">
        <w:t xml:space="preserve">Performance Metrics </w:t>
      </w:r>
    </w:p>
    <w:p w:rsidR="00235117" w:rsidRPr="00C24967" w:rsidRDefault="00235117" w:rsidP="006D63A8">
      <w:pPr>
        <w:spacing w:before="120" w:after="120"/>
      </w:pPr>
      <w:r w:rsidRPr="00C24967">
        <w:t>These are the performance metrics that will be used to check the satisfaction of the research objectives</w:t>
      </w:r>
      <w:r>
        <w:t>;</w:t>
      </w:r>
    </w:p>
    <w:p w:rsidR="00235117" w:rsidRPr="00924689" w:rsidRDefault="009A4D44" w:rsidP="006D63A8">
      <w:pPr>
        <w:pStyle w:val="ListParagraph"/>
        <w:numPr>
          <w:ilvl w:val="0"/>
          <w:numId w:val="3"/>
        </w:numPr>
        <w:spacing w:before="120" w:after="120"/>
      </w:pPr>
      <w:r w:rsidRPr="00924689">
        <w:t>Determine the year in demand will exceed existing water supply at current consumption rate</w:t>
      </w:r>
      <w:r w:rsidR="00235117" w:rsidRPr="00924689">
        <w:t>.</w:t>
      </w:r>
    </w:p>
    <w:p w:rsidR="00235117" w:rsidRPr="00924689" w:rsidRDefault="00235117" w:rsidP="006D63A8">
      <w:pPr>
        <w:pStyle w:val="ListParagraph"/>
        <w:numPr>
          <w:ilvl w:val="0"/>
          <w:numId w:val="3"/>
        </w:numPr>
        <w:spacing w:before="120" w:after="120"/>
      </w:pPr>
      <w:r w:rsidRPr="00924689">
        <w:t>Reliability would be used as quantitative m</w:t>
      </w:r>
      <w:r w:rsidR="008C56A2" w:rsidRPr="00924689">
        <w:t>e</w:t>
      </w:r>
      <w:r w:rsidRPr="00924689">
        <w:t>tric to evaluate the management alternatives for m</w:t>
      </w:r>
      <w:r w:rsidR="00EE1CA8" w:rsidRPr="00924689">
        <w:t>eeting</w:t>
      </w:r>
      <w:r w:rsidRPr="00924689">
        <w:t xml:space="preserve"> objective. </w:t>
      </w:r>
    </w:p>
    <w:p w:rsidR="00235117" w:rsidRPr="00C24967" w:rsidRDefault="00235117" w:rsidP="006D63A8">
      <w:pPr>
        <w:pStyle w:val="Heading2"/>
        <w:spacing w:before="120" w:after="120"/>
      </w:pPr>
      <w:r>
        <w:t>Water Sources and Rights</w:t>
      </w:r>
      <w:r w:rsidRPr="00C24967">
        <w:t xml:space="preserve"> </w:t>
      </w:r>
    </w:p>
    <w:p w:rsidR="00235117" w:rsidRDefault="00235117" w:rsidP="006D63A8">
      <w:pPr>
        <w:spacing w:before="120" w:after="120"/>
      </w:pPr>
      <w:r w:rsidRPr="00C24967">
        <w:t>Total water rights available for municipal use in the city of Logan permitted from the State of Utah the owner of the water is 83</w:t>
      </w:r>
      <w:r>
        <w:t xml:space="preserve"> </w:t>
      </w:r>
      <w:proofErr w:type="spellStart"/>
      <w:r w:rsidRPr="00C24967">
        <w:t>cfs</w:t>
      </w:r>
      <w:proofErr w:type="spellEnd"/>
      <w:r w:rsidRPr="00C24967">
        <w:t xml:space="preserve"> (Division of </w:t>
      </w:r>
      <w:r>
        <w:t>Water R</w:t>
      </w:r>
      <w:r w:rsidRPr="00C24967">
        <w:t xml:space="preserve">ights), 56cfs (Division of </w:t>
      </w:r>
      <w:r>
        <w:t>D</w:t>
      </w:r>
      <w:r w:rsidRPr="00C24967">
        <w:t xml:space="preserve">rinking </w:t>
      </w:r>
      <w:r>
        <w:t>W</w:t>
      </w:r>
      <w:r w:rsidRPr="00C24967">
        <w:t>ater), while total available water during a peak demand season is 79</w:t>
      </w:r>
      <w:r>
        <w:t xml:space="preserve"> </w:t>
      </w:r>
      <w:proofErr w:type="spellStart"/>
      <w:r w:rsidRPr="00C24967">
        <w:t>cfs</w:t>
      </w:r>
      <w:proofErr w:type="spellEnd"/>
      <w:r w:rsidRPr="00C24967">
        <w:t xml:space="preserve"> (Division of </w:t>
      </w:r>
      <w:r>
        <w:t>W</w:t>
      </w:r>
      <w:r w:rsidRPr="00C24967">
        <w:t xml:space="preserve">ater </w:t>
      </w:r>
      <w:r>
        <w:t>R</w:t>
      </w:r>
      <w:r w:rsidRPr="00C24967">
        <w:t>ights), 56</w:t>
      </w:r>
      <w:r>
        <w:t xml:space="preserve"> </w:t>
      </w:r>
      <w:proofErr w:type="spellStart"/>
      <w:r w:rsidRPr="00C24967">
        <w:t>cfs</w:t>
      </w:r>
      <w:proofErr w:type="spellEnd"/>
      <w:r w:rsidRPr="00C24967">
        <w:t xml:space="preserve"> (Division of </w:t>
      </w:r>
      <w:r>
        <w:t>D</w:t>
      </w:r>
      <w:r w:rsidRPr="00C24967">
        <w:t xml:space="preserve">rinking </w:t>
      </w:r>
      <w:r>
        <w:t>W</w:t>
      </w:r>
      <w:r w:rsidRPr="00C24967">
        <w:t>ater). The c</w:t>
      </w:r>
      <w:r>
        <w:t xml:space="preserve">ity approved water rights are provided in Appendix III. </w:t>
      </w:r>
    </w:p>
    <w:p w:rsidR="00235117" w:rsidRDefault="00235117" w:rsidP="006D63A8">
      <w:pPr>
        <w:spacing w:before="120" w:after="120"/>
      </w:pPr>
      <w:r>
        <w:t xml:space="preserve">From the mentioned water sources it may seem that Logan has sufficient water rights for municipal use, following points must be considered. </w:t>
      </w:r>
    </w:p>
    <w:p w:rsidR="00235117" w:rsidRDefault="00235117" w:rsidP="006D63A8">
      <w:pPr>
        <w:pStyle w:val="ListParagraph"/>
        <w:numPr>
          <w:ilvl w:val="0"/>
          <w:numId w:val="4"/>
        </w:numPr>
        <w:spacing w:before="120" w:after="120"/>
      </w:pPr>
      <w:r>
        <w:t>All of Dewitt Springs water rights are governed by Kimball Decree</w:t>
      </w:r>
      <w:r w:rsidR="00857F0E">
        <w:t xml:space="preserve"> </w:t>
      </w:r>
      <w:sdt>
        <w:sdtPr>
          <w:id w:val="-336311287"/>
          <w:citation/>
        </w:sdtPr>
        <w:sdtEndPr/>
        <w:sdtContent>
          <w:r w:rsidR="00EC7C7F">
            <w:fldChar w:fldCharType="begin"/>
          </w:r>
          <w:r w:rsidR="00EC7C7F">
            <w:instrText xml:space="preserve"> CITATION Log151 \l 1033 </w:instrText>
          </w:r>
          <w:r w:rsidR="00EC7C7F">
            <w:fldChar w:fldCharType="separate"/>
          </w:r>
          <w:r w:rsidR="00EC7C7F">
            <w:rPr>
              <w:noProof/>
            </w:rPr>
            <w:t>(3)</w:t>
          </w:r>
          <w:r w:rsidR="00EC7C7F">
            <w:fldChar w:fldCharType="end"/>
          </w:r>
        </w:sdtContent>
      </w:sdt>
      <w:r w:rsidR="00EC7C7F">
        <w:t xml:space="preserve"> </w:t>
      </w:r>
      <w:r>
        <w:t xml:space="preserve">which reduces the amounts the City can divert based on flow in Logan River. The city has made trade agreements with two canal companies to allow the city to remove an additional 20 </w:t>
      </w:r>
      <w:proofErr w:type="spellStart"/>
      <w:r>
        <w:t>cfs</w:t>
      </w:r>
      <w:proofErr w:type="spellEnd"/>
      <w:r>
        <w:t xml:space="preserve"> from springs to make up for the losses due to Decree. Dewitt Springs Water Rights and Logan River flow are shown in Figure 2 in Appendix – III.</w:t>
      </w:r>
    </w:p>
    <w:p w:rsidR="00235117" w:rsidRDefault="00235117" w:rsidP="006D63A8">
      <w:pPr>
        <w:pStyle w:val="ListParagraph"/>
        <w:numPr>
          <w:ilvl w:val="0"/>
          <w:numId w:val="4"/>
        </w:numPr>
        <w:spacing w:before="120" w:after="120"/>
      </w:pPr>
      <w:r>
        <w:lastRenderedPageBreak/>
        <w:t xml:space="preserve">The actual flow available from Dewitt Springs in not usually controlled by rights but by the flow in spring itself, hydraulic capacity of pipe 28cfs and actual water demands. This is shown in Figure 3 in Appendix – III. </w:t>
      </w:r>
    </w:p>
    <w:p w:rsidR="00235117" w:rsidRDefault="00235117" w:rsidP="006D63A8">
      <w:pPr>
        <w:pStyle w:val="ListParagraph"/>
        <w:numPr>
          <w:ilvl w:val="0"/>
          <w:numId w:val="4"/>
        </w:numPr>
        <w:spacing w:before="120" w:after="120"/>
      </w:pPr>
      <w:r>
        <w:t>Current capacity is limited to 28cfs in Dewitt Springs based on 24in concrete section that has not been replaced.</w:t>
      </w:r>
    </w:p>
    <w:p w:rsidR="00235117" w:rsidRPr="00C24967" w:rsidRDefault="00235117" w:rsidP="006D63A8">
      <w:pPr>
        <w:pStyle w:val="Heading2"/>
        <w:spacing w:before="120" w:after="120"/>
      </w:pPr>
      <w:r w:rsidRPr="00C24967">
        <w:t>Municipal Water Supply Facilities</w:t>
      </w:r>
    </w:p>
    <w:p w:rsidR="00235117" w:rsidRDefault="00235117" w:rsidP="006D63A8">
      <w:pPr>
        <w:spacing w:before="120" w:after="120"/>
      </w:pPr>
      <w:r>
        <w:t xml:space="preserve">Logan City water demand is satisfied through the water that is available from springs and wells. </w:t>
      </w:r>
      <w:r w:rsidRPr="00C24967">
        <w:t>The primary sources of water for the city of Logan are</w:t>
      </w:r>
      <w:r>
        <w:t xml:space="preserve"> Dewitt Springs, four wells out which are </w:t>
      </w:r>
      <w:r w:rsidRPr="00C24967">
        <w:t>located near U</w:t>
      </w:r>
      <w:r>
        <w:t xml:space="preserve">tah </w:t>
      </w:r>
      <w:r w:rsidRPr="00C24967">
        <w:t>S</w:t>
      </w:r>
      <w:r>
        <w:t xml:space="preserve">tate </w:t>
      </w:r>
      <w:r w:rsidRPr="00C24967">
        <w:t>U</w:t>
      </w:r>
      <w:r>
        <w:t>niversity</w:t>
      </w:r>
      <w:r w:rsidRPr="00C24967">
        <w:t xml:space="preserve"> campus, the third is located near the center town, and the forth is at the south side of the town.</w:t>
      </w:r>
      <w:r>
        <w:t xml:space="preserve"> The city also have a well on north side to supply irrigation water to canal companies in exchange for additional water diversion at Dewitt Springs. The total system capacity of Logan City is in Appendix – III. </w:t>
      </w:r>
    </w:p>
    <w:p w:rsidR="00235117" w:rsidRPr="00C24967" w:rsidRDefault="00235117" w:rsidP="006D63A8">
      <w:pPr>
        <w:pStyle w:val="Heading3"/>
        <w:spacing w:before="120" w:after="120"/>
      </w:pPr>
      <w:r w:rsidRPr="00C24967">
        <w:t>Secondary Water Supplies</w:t>
      </w:r>
    </w:p>
    <w:p w:rsidR="00235117" w:rsidRDefault="00235117" w:rsidP="006D63A8">
      <w:pPr>
        <w:spacing w:before="120" w:after="120"/>
      </w:pPr>
      <w:r w:rsidRPr="00C24967">
        <w:t>In addition to the DeWitt spring which considered the main water source and the groundwater wells available, there are 17 canal companies in the town. However, the primary customers for these companies</w:t>
      </w:r>
      <w:r>
        <w:t xml:space="preserve"> are agricultural user.</w:t>
      </w:r>
    </w:p>
    <w:p w:rsidR="00235117" w:rsidRPr="00C24967" w:rsidRDefault="00235117" w:rsidP="006D63A8">
      <w:pPr>
        <w:pStyle w:val="Heading2"/>
        <w:spacing w:before="120" w:after="120"/>
      </w:pPr>
      <w:r>
        <w:t>Population Trend</w:t>
      </w:r>
      <w:r w:rsidRPr="00C24967">
        <w:t xml:space="preserve"> </w:t>
      </w:r>
    </w:p>
    <w:p w:rsidR="00235117" w:rsidRDefault="00235117" w:rsidP="006D63A8">
      <w:pPr>
        <w:spacing w:before="120" w:after="120"/>
      </w:pPr>
      <w:r w:rsidRPr="006655AF">
        <w:t>The population in Logan increased by 30 percent during the period of 1990- 2000. This corresponds to a 2.7% average annual rate of change (AARC). The growth rate has accelerated during each of the previous four decades. However, the period of 2000 to 2010 experienced an economic recession and Logan’s growth rate reduced to an AARC of only 1.26%. This slower growth rate has been reflected further in the shift of growth to several of the surrounding communities.</w:t>
      </w:r>
      <w:r>
        <w:t xml:space="preserve"> </w:t>
      </w:r>
      <w:r>
        <w:rPr>
          <w:rStyle w:val="MSGENFONTSTYLENAMETEMPLATEROLENUMBERMSGENFONTSTYLENAMEBYROLETEXT2"/>
          <w:color w:val="000000"/>
        </w:rPr>
        <w:t xml:space="preserve">The Utah Government Office of Planning and Budget (GOPB) projected population growth in Cache County based on a rate of 1.5% AARC. However, over the period from 2000 to 2013, that growth rate has been around 1.0%. </w:t>
      </w:r>
    </w:p>
    <w:p w:rsidR="00235117" w:rsidRPr="00C24967" w:rsidRDefault="00235117" w:rsidP="006D63A8">
      <w:pPr>
        <w:spacing w:before="120" w:after="120"/>
      </w:pPr>
      <w:r w:rsidRPr="00C24967">
        <w:t xml:space="preserve">Planners in the city of Logan have used “Population-Based Demand Forecasting Method” in predicting in the future water demand. </w:t>
      </w:r>
      <w:r>
        <w:rPr>
          <w:rStyle w:val="MSGENFONTSTYLENAMETEMPLATEROLENUMBERMSGENFONTSTYLENAMEBYROLETEXT2"/>
          <w:color w:val="000000"/>
        </w:rPr>
        <w:t>For a most-likely growth rate scenario, historic growth rates for 1960-2010 (2.1% AARC), zoning and future development, planned annexations, and the increase in enrollment at USU were reviewed. The City is of the opinion that a growth rate of 2.1% AARC is more representative of the growth that can be anticipated till year 2050</w:t>
      </w:r>
      <w:r w:rsidR="00EC7C7F">
        <w:rPr>
          <w:rStyle w:val="MSGENFONTSTYLENAMETEMPLATEROLENUMBERMSGENFONTSTYLENAMEBYROLETEXT2"/>
          <w:color w:val="000000"/>
        </w:rPr>
        <w:t xml:space="preserve"> </w:t>
      </w:r>
      <w:sdt>
        <w:sdtPr>
          <w:rPr>
            <w:rStyle w:val="MSGENFONTSTYLENAMETEMPLATEROLENUMBERMSGENFONTSTYLENAMEBYROLETEXT2"/>
            <w:color w:val="000000"/>
          </w:rPr>
          <w:id w:val="-663555395"/>
          <w:citation/>
        </w:sdtPr>
        <w:sdtEndPr>
          <w:rPr>
            <w:rStyle w:val="MSGENFONTSTYLENAMETEMPLATEROLENUMBERMSGENFONTSTYLENAMEBYROLETEXT2"/>
          </w:rPr>
        </w:sdtEndPr>
        <w:sdtContent>
          <w:r w:rsidR="00EC7C7F">
            <w:rPr>
              <w:rStyle w:val="MSGENFONTSTYLENAMETEMPLATEROLENUMBERMSGENFONTSTYLENAMEBYROLETEXT2"/>
              <w:color w:val="000000"/>
            </w:rPr>
            <w:fldChar w:fldCharType="begin"/>
          </w:r>
          <w:r w:rsidR="00EC7C7F">
            <w:rPr>
              <w:rStyle w:val="MSGENFONTSTYLENAMETEMPLATEROLENUMBERMSGENFONTSTYLENAMEBYROLETEXT2"/>
              <w:color w:val="000000"/>
            </w:rPr>
            <w:instrText xml:space="preserve"> CITATION Log151 \l 1033 </w:instrText>
          </w:r>
          <w:r w:rsidR="00EC7C7F">
            <w:rPr>
              <w:rStyle w:val="MSGENFONTSTYLENAMETEMPLATEROLENUMBERMSGENFONTSTYLENAMEBYROLETEXT2"/>
              <w:color w:val="000000"/>
            </w:rPr>
            <w:fldChar w:fldCharType="separate"/>
          </w:r>
          <w:r w:rsidR="00EC7C7F" w:rsidRPr="00EC7C7F">
            <w:rPr>
              <w:noProof/>
              <w:color w:val="000000"/>
              <w:shd w:val="clear" w:color="auto" w:fill="FFFFFF"/>
            </w:rPr>
            <w:t>(3)</w:t>
          </w:r>
          <w:r w:rsidR="00EC7C7F">
            <w:rPr>
              <w:rStyle w:val="MSGENFONTSTYLENAMETEMPLATEROLENUMBERMSGENFONTSTYLENAMEBYROLETEXT2"/>
              <w:color w:val="000000"/>
            </w:rPr>
            <w:fldChar w:fldCharType="end"/>
          </w:r>
        </w:sdtContent>
      </w:sdt>
      <w:r>
        <w:rPr>
          <w:rStyle w:val="MSGENFONTSTYLENAMETEMPLATEROLENUMBERMSGENFONTSTYLENAMEBYROLETEXT2"/>
          <w:color w:val="000000"/>
        </w:rPr>
        <w:t>.</w:t>
      </w:r>
    </w:p>
    <w:p w:rsidR="00235117" w:rsidRPr="00C24967" w:rsidRDefault="00235117" w:rsidP="006D63A8">
      <w:pPr>
        <w:spacing w:before="120" w:after="120"/>
      </w:pPr>
      <w:r w:rsidRPr="00C24967">
        <w:t>Based on this method, calculations have been made until the year of 2050 with taking in considerations diff</w:t>
      </w:r>
      <w:r>
        <w:t>erent scenarios for growth rate and attached in Appendix – IV.</w:t>
      </w:r>
    </w:p>
    <w:p w:rsidR="00235117" w:rsidRDefault="00235117" w:rsidP="006D63A8">
      <w:pPr>
        <w:pStyle w:val="Heading2"/>
        <w:spacing w:before="120" w:after="120"/>
      </w:pPr>
      <w:r>
        <w:t>Management Alternative</w:t>
      </w:r>
    </w:p>
    <w:p w:rsidR="00235117" w:rsidRDefault="00235117" w:rsidP="006D63A8">
      <w:pPr>
        <w:spacing w:before="120" w:after="120"/>
      </w:pPr>
      <w:r>
        <w:t xml:space="preserve">Based on future population projections and water use attached in Appendix IV indicated that future demand will demand existing water supply sources before 2050.  Therefore, the following structural and nonstructural management strategies and alternatives will be studied in this project: </w:t>
      </w:r>
    </w:p>
    <w:p w:rsidR="00235117" w:rsidRDefault="00235117" w:rsidP="006D63A8">
      <w:pPr>
        <w:pStyle w:val="ListParagraph"/>
        <w:numPr>
          <w:ilvl w:val="0"/>
          <w:numId w:val="5"/>
        </w:numPr>
        <w:spacing w:before="120" w:after="120"/>
      </w:pPr>
      <w:r>
        <w:t>Expanding the capacity of the existing supply system and treatment</w:t>
      </w:r>
    </w:p>
    <w:p w:rsidR="00235117" w:rsidRDefault="00235117" w:rsidP="006D63A8">
      <w:pPr>
        <w:pStyle w:val="ListParagraph"/>
        <w:numPr>
          <w:ilvl w:val="0"/>
          <w:numId w:val="5"/>
        </w:numPr>
        <w:spacing w:before="120" w:after="120"/>
      </w:pPr>
      <w:r>
        <w:lastRenderedPageBreak/>
        <w:t>Replace leaking water transmission lines and water meters</w:t>
      </w:r>
    </w:p>
    <w:p w:rsidR="00235117" w:rsidRDefault="00235117" w:rsidP="006D63A8">
      <w:pPr>
        <w:pStyle w:val="ListParagraph"/>
        <w:numPr>
          <w:ilvl w:val="0"/>
          <w:numId w:val="5"/>
        </w:numPr>
        <w:spacing w:before="120" w:after="120"/>
      </w:pPr>
      <w:r>
        <w:t>Buy agriculture water rights and divert water to fulfil city demand</w:t>
      </w:r>
    </w:p>
    <w:p w:rsidR="00235117" w:rsidRDefault="00235117" w:rsidP="006D63A8">
      <w:pPr>
        <w:pStyle w:val="ListParagraph"/>
        <w:numPr>
          <w:ilvl w:val="0"/>
          <w:numId w:val="5"/>
        </w:numPr>
        <w:spacing w:before="120" w:after="120"/>
      </w:pPr>
      <w:r>
        <w:t>Promote users to install water efficient appliances</w:t>
      </w:r>
    </w:p>
    <w:p w:rsidR="00215F65" w:rsidRDefault="00215F65" w:rsidP="006D63A8">
      <w:pPr>
        <w:pStyle w:val="ListParagraph"/>
        <w:numPr>
          <w:ilvl w:val="0"/>
          <w:numId w:val="5"/>
        </w:numPr>
        <w:spacing w:before="120" w:after="120"/>
      </w:pPr>
      <w:r>
        <w:t>Reduction of outdoor water usage</w:t>
      </w:r>
    </w:p>
    <w:p w:rsidR="00215F65" w:rsidRDefault="00E5417E" w:rsidP="006D63A8">
      <w:pPr>
        <w:pStyle w:val="ListParagraph"/>
        <w:numPr>
          <w:ilvl w:val="0"/>
          <w:numId w:val="5"/>
        </w:numPr>
        <w:spacing w:before="120" w:after="120"/>
      </w:pPr>
      <w:r>
        <w:t>Water re</w:t>
      </w:r>
      <w:r w:rsidR="00D23835">
        <w:t>-</w:t>
      </w:r>
      <w:r>
        <w:t>pricing</w:t>
      </w:r>
    </w:p>
    <w:p w:rsidR="00235117" w:rsidRDefault="00235117" w:rsidP="006D63A8">
      <w:pPr>
        <w:pStyle w:val="Heading2"/>
        <w:spacing w:before="120" w:after="120"/>
        <w:sectPr w:rsidR="00235117" w:rsidSect="00984F25">
          <w:pgSz w:w="11907" w:h="16839" w:code="9"/>
          <w:pgMar w:top="1440" w:right="1440" w:bottom="1440" w:left="1440" w:header="720" w:footer="720" w:gutter="0"/>
          <w:cols w:space="720"/>
          <w:docGrid w:linePitch="360"/>
        </w:sectPr>
      </w:pPr>
    </w:p>
    <w:p w:rsidR="00235117" w:rsidRPr="00C32188" w:rsidRDefault="00235117" w:rsidP="006D63A8">
      <w:pPr>
        <w:pStyle w:val="Heading2"/>
        <w:spacing w:before="120" w:after="120"/>
      </w:pPr>
      <w:r>
        <w:lastRenderedPageBreak/>
        <w:t>Major Findings and Future Steps</w:t>
      </w:r>
    </w:p>
    <w:p w:rsidR="008C4583" w:rsidRPr="007950CE" w:rsidRDefault="00D87F95" w:rsidP="008C4583">
      <w:pPr>
        <w:spacing w:before="120" w:after="120"/>
      </w:pPr>
      <w:r w:rsidRPr="00D87F95">
        <w:t xml:space="preserve">Logan city is a major economic hub in Cache County and that trend will likely to continue with major </w:t>
      </w:r>
      <w:r w:rsidRPr="00B36E45">
        <w:t>population increase, highlighting the need of alternatives for reliable water supply system. The population data with water usage rate has been collected</w:t>
      </w:r>
      <w:r w:rsidR="00B36E45" w:rsidRPr="00B36E45">
        <w:t xml:space="preserve"> and</w:t>
      </w:r>
      <w:r w:rsidRPr="00B36E45">
        <w:t xml:space="preserve"> future </w:t>
      </w:r>
      <w:r w:rsidR="008C4583" w:rsidRPr="00B36E45">
        <w:t>project will be made</w:t>
      </w:r>
      <w:r w:rsidR="00B36E45" w:rsidRPr="00B36E45">
        <w:t xml:space="preserve">. </w:t>
      </w:r>
      <w:r w:rsidR="008C4583" w:rsidRPr="00B36E45">
        <w:t xml:space="preserve">Proposed structural and non-structural management alternatives have been proposed. </w:t>
      </w:r>
      <w:r w:rsidR="00B36E45" w:rsidRPr="00B36E45">
        <w:t>Further steps include development of management alternative scenarios</w:t>
      </w:r>
      <w:r w:rsidR="008C4583" w:rsidRPr="00B36E45">
        <w:t xml:space="preserve"> </w:t>
      </w:r>
      <w:r w:rsidR="00B36E45" w:rsidRPr="00B36E45">
        <w:t xml:space="preserve">that will be </w:t>
      </w:r>
      <w:r w:rsidR="008C4583" w:rsidRPr="00B36E45">
        <w:t xml:space="preserve">evaluated against the performance criteria and future proposed actions will be measured and </w:t>
      </w:r>
      <w:r w:rsidR="00B36E45" w:rsidRPr="00B36E45">
        <w:t>reliability of those alternatives will be determined</w:t>
      </w:r>
      <w:r w:rsidR="008C4583" w:rsidRPr="00B36E45">
        <w:t>.</w:t>
      </w:r>
    </w:p>
    <w:p w:rsidR="008C4583" w:rsidRDefault="008C4583" w:rsidP="008C4583">
      <w:pPr>
        <w:pStyle w:val="Heading1"/>
        <w:spacing w:before="120" w:after="120"/>
        <w:sectPr w:rsidR="008C4583" w:rsidSect="00235117">
          <w:type w:val="continuous"/>
          <w:pgSz w:w="11907" w:h="16839" w:code="9"/>
          <w:pgMar w:top="1440" w:right="1440" w:bottom="1440" w:left="1440" w:header="720" w:footer="720" w:gutter="0"/>
          <w:cols w:space="720"/>
          <w:docGrid w:linePitch="360"/>
        </w:sectPr>
      </w:pPr>
    </w:p>
    <w:p w:rsidR="00235117" w:rsidRDefault="00235117" w:rsidP="006D63A8">
      <w:pPr>
        <w:spacing w:before="120" w:after="120"/>
        <w:rPr>
          <w:color w:val="000000"/>
        </w:rPr>
      </w:pPr>
    </w:p>
    <w:p w:rsidR="00235117" w:rsidRDefault="00235117" w:rsidP="006D63A8">
      <w:pPr>
        <w:pStyle w:val="Heading1"/>
        <w:spacing w:before="120" w:after="120"/>
        <w:sectPr w:rsidR="00235117" w:rsidSect="00235117">
          <w:type w:val="continuous"/>
          <w:pgSz w:w="11907" w:h="16839" w:code="9"/>
          <w:pgMar w:top="1440" w:right="1440" w:bottom="1440" w:left="1440" w:header="720" w:footer="720" w:gutter="0"/>
          <w:cols w:space="720"/>
          <w:docGrid w:linePitch="360"/>
        </w:sectPr>
      </w:pPr>
    </w:p>
    <w:p w:rsidR="007420F0" w:rsidRDefault="007420F0" w:rsidP="006D63A8">
      <w:pPr>
        <w:pStyle w:val="Heading1"/>
        <w:spacing w:before="120" w:after="120"/>
        <w:sectPr w:rsidR="007420F0" w:rsidSect="00235117">
          <w:type w:val="continuous"/>
          <w:pgSz w:w="11907" w:h="16839" w:code="9"/>
          <w:pgMar w:top="1440" w:right="1440" w:bottom="1440" w:left="1440" w:header="720" w:footer="720" w:gutter="0"/>
          <w:cols w:space="720"/>
          <w:docGrid w:linePitch="360"/>
        </w:sectPr>
      </w:pPr>
    </w:p>
    <w:p w:rsidR="00235117" w:rsidRDefault="00235117" w:rsidP="006D63A8">
      <w:pPr>
        <w:pStyle w:val="Heading1"/>
        <w:spacing w:before="120" w:after="120"/>
      </w:pPr>
      <w:r>
        <w:lastRenderedPageBreak/>
        <w:t>Appendices</w:t>
      </w:r>
    </w:p>
    <w:p w:rsidR="00235117" w:rsidRDefault="00235117" w:rsidP="006D63A8">
      <w:pPr>
        <w:pStyle w:val="Heading3"/>
        <w:spacing w:before="120" w:after="120"/>
      </w:pPr>
      <w:r>
        <w:t>Appendix – I</w:t>
      </w:r>
    </w:p>
    <w:sdt>
      <w:sdtPr>
        <w:rPr>
          <w:rFonts w:asciiTheme="minorHAnsi" w:eastAsiaTheme="minorHAnsi" w:hAnsiTheme="minorHAnsi" w:cstheme="minorBidi"/>
          <w:color w:val="auto"/>
          <w:sz w:val="22"/>
          <w:szCs w:val="22"/>
        </w:rPr>
        <w:id w:val="1526673522"/>
        <w:docPartObj>
          <w:docPartGallery w:val="Bibliographies"/>
          <w:docPartUnique/>
        </w:docPartObj>
      </w:sdtPr>
      <w:sdtEndPr>
        <w:rPr>
          <w:sz w:val="24"/>
        </w:rPr>
      </w:sdtEndPr>
      <w:sdtContent>
        <w:p w:rsidR="00235117" w:rsidRPr="00376F47" w:rsidRDefault="00235117" w:rsidP="006D63A8">
          <w:pPr>
            <w:pStyle w:val="Heading1"/>
            <w:spacing w:before="120" w:after="120"/>
            <w:rPr>
              <w:sz w:val="24"/>
              <w:szCs w:val="24"/>
            </w:rPr>
          </w:pPr>
          <w:r w:rsidRPr="00376F47">
            <w:rPr>
              <w:sz w:val="24"/>
              <w:szCs w:val="24"/>
            </w:rPr>
            <w:t>References</w:t>
          </w:r>
        </w:p>
        <w:sdt>
          <w:sdtPr>
            <w:id w:val="-573587230"/>
            <w:bibliography/>
          </w:sdtPr>
          <w:sdtEndPr/>
          <w:sdtContent>
            <w:p w:rsidR="002F2C77" w:rsidRPr="002F2C77" w:rsidRDefault="00235117" w:rsidP="002F2C77">
              <w:pPr>
                <w:pStyle w:val="Bibliography"/>
                <w:rPr>
                  <w:noProof/>
                  <w:szCs w:val="24"/>
                </w:rPr>
              </w:pPr>
              <w:r w:rsidRPr="002F2C77">
                <w:fldChar w:fldCharType="begin"/>
              </w:r>
              <w:r w:rsidRPr="002F2C77">
                <w:instrText xml:space="preserve"> BIBLIOGRAPHY </w:instrText>
              </w:r>
              <w:r w:rsidRPr="002F2C77">
                <w:fldChar w:fldCharType="separate"/>
              </w:r>
              <w:r w:rsidR="002F2C77" w:rsidRPr="002F2C77">
                <w:rPr>
                  <w:noProof/>
                </w:rPr>
                <w:t xml:space="preserve">1. </w:t>
              </w:r>
              <w:r w:rsidR="002F2C77" w:rsidRPr="002F2C77">
                <w:rPr>
                  <w:i/>
                  <w:iCs/>
                  <w:noProof/>
                </w:rPr>
                <w:t xml:space="preserve">Approaches to Planning Water Resources. </w:t>
              </w:r>
              <w:r w:rsidR="002F2C77" w:rsidRPr="002F2C77">
                <w:rPr>
                  <w:bCs/>
                  <w:noProof/>
                </w:rPr>
                <w:t>Lund, Jay R.</w:t>
              </w:r>
              <w:r w:rsidR="002F2C77" w:rsidRPr="002F2C77">
                <w:rPr>
                  <w:noProof/>
                </w:rPr>
                <w:t xml:space="preserve"> 2008.</w:t>
              </w:r>
            </w:p>
            <w:p w:rsidR="002F2C77" w:rsidRPr="002F2C77" w:rsidRDefault="002F2C77" w:rsidP="002F2C77">
              <w:pPr>
                <w:pStyle w:val="Bibliography"/>
                <w:rPr>
                  <w:bCs/>
                  <w:noProof/>
                </w:rPr>
              </w:pPr>
              <w:r w:rsidRPr="002F2C77">
                <w:rPr>
                  <w:noProof/>
                </w:rPr>
                <w:t xml:space="preserve">2. </w:t>
              </w:r>
              <w:r w:rsidRPr="002F2C77">
                <w:rPr>
                  <w:bCs/>
                  <w:noProof/>
                </w:rPr>
                <w:t xml:space="preserve">Wikipedia. </w:t>
              </w:r>
              <w:r w:rsidRPr="002F2C77">
                <w:rPr>
                  <w:bCs/>
                  <w:i/>
                  <w:iCs/>
                  <w:noProof/>
                </w:rPr>
                <w:t xml:space="preserve">Logan, Utah. </w:t>
              </w:r>
              <w:r w:rsidRPr="002F2C77">
                <w:rPr>
                  <w:bCs/>
                  <w:noProof/>
                </w:rPr>
                <w:t>[Online] [Cited: 02 28, 2016.] https://en.wikipedia.org/wiki/Logan,_Utah.</w:t>
              </w:r>
            </w:p>
            <w:p w:rsidR="002F2C77" w:rsidRPr="002F2C77" w:rsidRDefault="002F2C77" w:rsidP="002F2C77">
              <w:pPr>
                <w:pStyle w:val="Bibliography"/>
                <w:rPr>
                  <w:bCs/>
                  <w:noProof/>
                </w:rPr>
              </w:pPr>
              <w:r w:rsidRPr="002F2C77">
                <w:rPr>
                  <w:bCs/>
                  <w:noProof/>
                </w:rPr>
                <w:t xml:space="preserve">3. Department, Logan Public Works. </w:t>
              </w:r>
              <w:r w:rsidRPr="002F2C77">
                <w:rPr>
                  <w:bCs/>
                  <w:i/>
                  <w:iCs/>
                  <w:noProof/>
                </w:rPr>
                <w:t xml:space="preserve">Water Conservation Plan. </w:t>
              </w:r>
              <w:r w:rsidRPr="002F2C77">
                <w:rPr>
                  <w:bCs/>
                  <w:noProof/>
                </w:rPr>
                <w:t>Logan, UT : s.n., 2015.</w:t>
              </w:r>
            </w:p>
            <w:p w:rsidR="00235117" w:rsidRDefault="00235117" w:rsidP="002F2C77">
              <w:pPr>
                <w:tabs>
                  <w:tab w:val="left" w:pos="765"/>
                </w:tabs>
                <w:spacing w:before="120" w:after="120"/>
              </w:pPr>
              <w:r w:rsidRPr="002F2C77">
                <w:rPr>
                  <w:bCs/>
                  <w:noProof/>
                </w:rPr>
                <w:fldChar w:fldCharType="end"/>
              </w:r>
            </w:p>
          </w:sdtContent>
        </w:sdt>
      </w:sdtContent>
    </w:sdt>
    <w:p w:rsidR="00235117" w:rsidRDefault="00235117" w:rsidP="006D63A8">
      <w:pPr>
        <w:pStyle w:val="Heading3"/>
        <w:spacing w:before="120" w:after="120"/>
      </w:pPr>
      <w:r>
        <w:t>Appendix – II: Location of Study Area in Utah</w:t>
      </w:r>
    </w:p>
    <w:p w:rsidR="00235117" w:rsidRDefault="00235117" w:rsidP="006D63A8">
      <w:pPr>
        <w:spacing w:before="120" w:after="120"/>
        <w:jc w:val="center"/>
      </w:pPr>
      <w:r>
        <w:rPr>
          <w:noProof/>
        </w:rPr>
        <w:drawing>
          <wp:inline distT="0" distB="0" distL="0" distR="0" wp14:anchorId="41FFB9F3" wp14:editId="0A8D711A">
            <wp:extent cx="5295900" cy="342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che_County_Utah_incorporated_and_unincorporated_areas_Logan_highlighted.svg.png"/>
                    <pic:cNvPicPr/>
                  </pic:nvPicPr>
                  <pic:blipFill>
                    <a:blip r:embed="rId11">
                      <a:extLst>
                        <a:ext uri="{28A0092B-C50C-407E-A947-70E740481C1C}">
                          <a14:useLocalDpi xmlns:a14="http://schemas.microsoft.com/office/drawing/2010/main" val="0"/>
                        </a:ext>
                      </a:extLst>
                    </a:blip>
                    <a:stretch>
                      <a:fillRect/>
                    </a:stretch>
                  </pic:blipFill>
                  <pic:spPr>
                    <a:xfrm>
                      <a:off x="0" y="0"/>
                      <a:ext cx="5295900" cy="3429000"/>
                    </a:xfrm>
                    <a:prstGeom prst="rect">
                      <a:avLst/>
                    </a:prstGeom>
                  </pic:spPr>
                </pic:pic>
              </a:graphicData>
            </a:graphic>
          </wp:inline>
        </w:drawing>
      </w:r>
    </w:p>
    <w:p w:rsidR="00235117" w:rsidRDefault="00235117" w:rsidP="006D63A8">
      <w:pPr>
        <w:spacing w:before="120" w:after="120"/>
      </w:pPr>
      <w:r>
        <w:t>Source:  Wikipedia Logan City Page</w:t>
      </w:r>
    </w:p>
    <w:p w:rsidR="00235117" w:rsidRDefault="00235117" w:rsidP="006D63A8">
      <w:pPr>
        <w:spacing w:before="120" w:after="120"/>
      </w:pPr>
    </w:p>
    <w:p w:rsidR="00B60A5C" w:rsidRDefault="00B60A5C" w:rsidP="006D63A8">
      <w:pPr>
        <w:pStyle w:val="Heading3"/>
        <w:spacing w:before="120" w:after="120"/>
        <w:sectPr w:rsidR="00B60A5C" w:rsidSect="007420F0">
          <w:pgSz w:w="11907" w:h="16839" w:code="9"/>
          <w:pgMar w:top="1440" w:right="1440" w:bottom="1440" w:left="1440" w:header="720" w:footer="720" w:gutter="0"/>
          <w:cols w:space="720"/>
          <w:docGrid w:linePitch="360"/>
        </w:sectPr>
      </w:pPr>
    </w:p>
    <w:p w:rsidR="00235117" w:rsidRDefault="00235117" w:rsidP="006D63A8">
      <w:pPr>
        <w:pStyle w:val="Heading3"/>
        <w:spacing w:before="120" w:after="120"/>
      </w:pPr>
      <w:r>
        <w:lastRenderedPageBreak/>
        <w:t>Appendix- III Logan City Water Sources and Rights</w:t>
      </w:r>
    </w:p>
    <w:p w:rsidR="00235117" w:rsidRPr="006A0ADF" w:rsidRDefault="00235117" w:rsidP="006D63A8">
      <w:pPr>
        <w:spacing w:before="120" w:after="120"/>
      </w:pPr>
    </w:p>
    <w:tbl>
      <w:tblPr>
        <w:tblStyle w:val="TableGrid"/>
        <w:tblW w:w="0" w:type="auto"/>
        <w:jc w:val="center"/>
        <w:tblLook w:val="04A0" w:firstRow="1" w:lastRow="0" w:firstColumn="1" w:lastColumn="0" w:noHBand="0" w:noVBand="1"/>
      </w:tblPr>
      <w:tblGrid>
        <w:gridCol w:w="2257"/>
        <w:gridCol w:w="2253"/>
        <w:gridCol w:w="2165"/>
        <w:gridCol w:w="2342"/>
      </w:tblGrid>
      <w:tr w:rsidR="00235117" w:rsidRPr="00243F48" w:rsidTr="007126EE">
        <w:trPr>
          <w:trHeight w:val="288"/>
          <w:jc w:val="center"/>
        </w:trPr>
        <w:tc>
          <w:tcPr>
            <w:tcW w:w="9017" w:type="dxa"/>
            <w:gridSpan w:val="4"/>
          </w:tcPr>
          <w:p w:rsidR="00235117" w:rsidRPr="00243F48" w:rsidRDefault="00235117" w:rsidP="006D63A8">
            <w:pPr>
              <w:spacing w:before="120" w:after="120"/>
            </w:pPr>
            <w:r w:rsidRPr="00243F48">
              <w:t>City of Logan Water Rights for Municipal Use</w:t>
            </w:r>
          </w:p>
        </w:tc>
      </w:tr>
      <w:tr w:rsidR="00235117" w:rsidRPr="00243F48" w:rsidTr="007126EE">
        <w:trPr>
          <w:trHeight w:val="274"/>
          <w:jc w:val="center"/>
        </w:trPr>
        <w:tc>
          <w:tcPr>
            <w:tcW w:w="2257" w:type="dxa"/>
          </w:tcPr>
          <w:p w:rsidR="00235117" w:rsidRPr="00243F48" w:rsidRDefault="00235117" w:rsidP="006D63A8">
            <w:pPr>
              <w:spacing w:before="120" w:after="120"/>
            </w:pPr>
            <w:r w:rsidRPr="00243F48">
              <w:t>Location</w:t>
            </w:r>
          </w:p>
        </w:tc>
        <w:tc>
          <w:tcPr>
            <w:tcW w:w="2253" w:type="dxa"/>
          </w:tcPr>
          <w:p w:rsidR="00235117" w:rsidRPr="00243F48" w:rsidRDefault="00235117" w:rsidP="006D63A8">
            <w:pPr>
              <w:spacing w:before="120" w:after="120"/>
            </w:pPr>
            <w:r w:rsidRPr="00243F48">
              <w:t>Priority</w:t>
            </w:r>
          </w:p>
        </w:tc>
        <w:tc>
          <w:tcPr>
            <w:tcW w:w="2165" w:type="dxa"/>
          </w:tcPr>
          <w:p w:rsidR="00235117" w:rsidRPr="00243F48" w:rsidRDefault="00235117" w:rsidP="006D63A8">
            <w:pPr>
              <w:spacing w:before="120" w:after="120"/>
            </w:pPr>
            <w:r w:rsidRPr="00243F48">
              <w:t>Flow</w:t>
            </w:r>
          </w:p>
        </w:tc>
        <w:tc>
          <w:tcPr>
            <w:tcW w:w="2342" w:type="dxa"/>
          </w:tcPr>
          <w:p w:rsidR="00235117" w:rsidRPr="00243F48" w:rsidRDefault="00235117" w:rsidP="006D63A8">
            <w:pPr>
              <w:spacing w:before="120" w:after="120"/>
            </w:pPr>
            <w:r w:rsidRPr="00243F48">
              <w:t>Water Right Number</w:t>
            </w:r>
          </w:p>
        </w:tc>
      </w:tr>
      <w:tr w:rsidR="00235117" w:rsidRPr="00243F48" w:rsidTr="007126EE">
        <w:trPr>
          <w:trHeight w:val="288"/>
          <w:jc w:val="center"/>
        </w:trPr>
        <w:tc>
          <w:tcPr>
            <w:tcW w:w="2257" w:type="dxa"/>
          </w:tcPr>
          <w:p w:rsidR="00235117" w:rsidRPr="00243F48" w:rsidRDefault="00235117" w:rsidP="006D63A8">
            <w:pPr>
              <w:spacing w:before="120" w:after="120"/>
            </w:pPr>
            <w:r w:rsidRPr="00243F48">
              <w:t>DeWitt Spring</w:t>
            </w:r>
          </w:p>
        </w:tc>
        <w:tc>
          <w:tcPr>
            <w:tcW w:w="2253" w:type="dxa"/>
          </w:tcPr>
          <w:p w:rsidR="00235117" w:rsidRPr="00243F48" w:rsidRDefault="00235117" w:rsidP="006D63A8">
            <w:pPr>
              <w:spacing w:before="120" w:after="120"/>
            </w:pPr>
            <w:r w:rsidRPr="00243F48">
              <w:t>1 May 1860</w:t>
            </w:r>
          </w:p>
        </w:tc>
        <w:tc>
          <w:tcPr>
            <w:tcW w:w="2165" w:type="dxa"/>
          </w:tcPr>
          <w:p w:rsidR="00235117" w:rsidRPr="00243F48" w:rsidRDefault="00235117" w:rsidP="006D63A8">
            <w:pPr>
              <w:spacing w:before="120" w:after="120"/>
            </w:pPr>
            <w:r w:rsidRPr="00243F48">
              <w:t xml:space="preserve">10 </w:t>
            </w:r>
            <w:proofErr w:type="spellStart"/>
            <w:r w:rsidRPr="00243F48">
              <w:t>cfs</w:t>
            </w:r>
            <w:proofErr w:type="spellEnd"/>
          </w:p>
        </w:tc>
        <w:tc>
          <w:tcPr>
            <w:tcW w:w="2342" w:type="dxa"/>
          </w:tcPr>
          <w:p w:rsidR="00235117" w:rsidRPr="00243F48" w:rsidRDefault="00235117" w:rsidP="006D63A8">
            <w:pPr>
              <w:spacing w:before="120" w:after="120"/>
            </w:pPr>
            <w:r w:rsidRPr="00243F48">
              <w:t>25-3506</w:t>
            </w:r>
          </w:p>
        </w:tc>
      </w:tr>
      <w:tr w:rsidR="00235117" w:rsidRPr="00243F48" w:rsidTr="007126EE">
        <w:trPr>
          <w:trHeight w:val="563"/>
          <w:jc w:val="center"/>
        </w:trPr>
        <w:tc>
          <w:tcPr>
            <w:tcW w:w="2257" w:type="dxa"/>
          </w:tcPr>
          <w:p w:rsidR="00235117" w:rsidRPr="00243F48" w:rsidRDefault="00235117" w:rsidP="006D63A8">
            <w:pPr>
              <w:spacing w:before="120" w:after="120"/>
            </w:pPr>
            <w:r w:rsidRPr="00243F48">
              <w:t>DeWitt Spring</w:t>
            </w:r>
            <w:r w:rsidRPr="00243F48">
              <w:rPr>
                <w:vertAlign w:val="superscript"/>
              </w:rPr>
              <w:t>1</w:t>
            </w:r>
            <w:r w:rsidRPr="00243F48">
              <w:t xml:space="preserve"> </w:t>
            </w:r>
          </w:p>
          <w:p w:rsidR="00235117" w:rsidRPr="00243F48" w:rsidRDefault="00235117" w:rsidP="006D63A8">
            <w:pPr>
              <w:spacing w:before="120" w:after="120"/>
            </w:pPr>
            <w:r w:rsidRPr="00243F48">
              <w:t>(Apr- Sep)</w:t>
            </w:r>
          </w:p>
        </w:tc>
        <w:tc>
          <w:tcPr>
            <w:tcW w:w="2253" w:type="dxa"/>
          </w:tcPr>
          <w:p w:rsidR="00235117" w:rsidRPr="00243F48" w:rsidRDefault="00235117" w:rsidP="006D63A8">
            <w:pPr>
              <w:spacing w:before="120" w:after="120"/>
            </w:pPr>
            <w:r w:rsidRPr="00243F48">
              <w:t>1 May 1900</w:t>
            </w:r>
          </w:p>
        </w:tc>
        <w:tc>
          <w:tcPr>
            <w:tcW w:w="2165" w:type="dxa"/>
          </w:tcPr>
          <w:p w:rsidR="00235117" w:rsidRPr="00243F48" w:rsidRDefault="00235117" w:rsidP="006D63A8">
            <w:pPr>
              <w:spacing w:before="120" w:after="120"/>
            </w:pPr>
            <w:r w:rsidRPr="00243F48">
              <w:t xml:space="preserve">4 </w:t>
            </w:r>
            <w:proofErr w:type="spellStart"/>
            <w:r w:rsidRPr="00243F48">
              <w:t>cfs</w:t>
            </w:r>
            <w:proofErr w:type="spellEnd"/>
          </w:p>
        </w:tc>
        <w:tc>
          <w:tcPr>
            <w:tcW w:w="2342" w:type="dxa"/>
          </w:tcPr>
          <w:p w:rsidR="00235117" w:rsidRPr="00243F48" w:rsidRDefault="00235117" w:rsidP="006D63A8">
            <w:pPr>
              <w:spacing w:before="120" w:after="120"/>
            </w:pPr>
            <w:r w:rsidRPr="00243F48">
              <w:t>25-5429</w:t>
            </w:r>
          </w:p>
        </w:tc>
      </w:tr>
      <w:tr w:rsidR="00235117" w:rsidRPr="00243F48" w:rsidTr="007126EE">
        <w:trPr>
          <w:trHeight w:val="577"/>
          <w:jc w:val="center"/>
        </w:trPr>
        <w:tc>
          <w:tcPr>
            <w:tcW w:w="2257" w:type="dxa"/>
          </w:tcPr>
          <w:p w:rsidR="00235117" w:rsidRPr="00243F48" w:rsidRDefault="00235117" w:rsidP="006D63A8">
            <w:pPr>
              <w:spacing w:before="120" w:after="120"/>
            </w:pPr>
            <w:r w:rsidRPr="00243F48">
              <w:t>DeWitt Spring</w:t>
            </w:r>
            <w:r w:rsidRPr="00243F48">
              <w:rPr>
                <w:vertAlign w:val="superscript"/>
              </w:rPr>
              <w:t>2</w:t>
            </w:r>
            <w:r w:rsidRPr="00243F48">
              <w:t xml:space="preserve"> </w:t>
            </w:r>
          </w:p>
          <w:p w:rsidR="00235117" w:rsidRPr="00243F48" w:rsidRDefault="00235117" w:rsidP="006D63A8">
            <w:pPr>
              <w:spacing w:before="120" w:after="120"/>
            </w:pPr>
            <w:r w:rsidRPr="00243F48">
              <w:t>(Oct-Mar)</w:t>
            </w:r>
          </w:p>
        </w:tc>
        <w:tc>
          <w:tcPr>
            <w:tcW w:w="2253" w:type="dxa"/>
          </w:tcPr>
          <w:p w:rsidR="00235117" w:rsidRPr="00243F48" w:rsidRDefault="00235117" w:rsidP="006D63A8">
            <w:pPr>
              <w:spacing w:before="120" w:after="120"/>
            </w:pPr>
            <w:r w:rsidRPr="00243F48">
              <w:t>17 March 1981</w:t>
            </w:r>
          </w:p>
        </w:tc>
        <w:tc>
          <w:tcPr>
            <w:tcW w:w="2165" w:type="dxa"/>
          </w:tcPr>
          <w:p w:rsidR="00235117" w:rsidRPr="00243F48" w:rsidRDefault="00235117" w:rsidP="006D63A8">
            <w:pPr>
              <w:spacing w:before="120" w:after="120"/>
            </w:pPr>
            <w:r w:rsidRPr="00243F48">
              <w:t xml:space="preserve">20 </w:t>
            </w:r>
            <w:proofErr w:type="spellStart"/>
            <w:r w:rsidRPr="00243F48">
              <w:t>cfs</w:t>
            </w:r>
            <w:proofErr w:type="spellEnd"/>
            <w:r w:rsidRPr="00243F48">
              <w:t xml:space="preserve"> </w:t>
            </w:r>
          </w:p>
        </w:tc>
        <w:tc>
          <w:tcPr>
            <w:tcW w:w="2342" w:type="dxa"/>
          </w:tcPr>
          <w:p w:rsidR="00235117" w:rsidRPr="00243F48" w:rsidRDefault="00235117" w:rsidP="006D63A8">
            <w:pPr>
              <w:spacing w:before="120" w:after="120"/>
            </w:pPr>
            <w:r w:rsidRPr="00243F48">
              <w:t>25-8258</w:t>
            </w:r>
          </w:p>
        </w:tc>
      </w:tr>
      <w:tr w:rsidR="00235117" w:rsidRPr="00243F48" w:rsidTr="007126EE">
        <w:trPr>
          <w:trHeight w:val="274"/>
          <w:jc w:val="center"/>
        </w:trPr>
        <w:tc>
          <w:tcPr>
            <w:tcW w:w="2257" w:type="dxa"/>
          </w:tcPr>
          <w:p w:rsidR="00235117" w:rsidRPr="00243F48" w:rsidRDefault="00235117" w:rsidP="006D63A8">
            <w:pPr>
              <w:spacing w:before="120" w:after="120"/>
              <w:rPr>
                <w:vertAlign w:val="superscript"/>
              </w:rPr>
            </w:pPr>
            <w:r w:rsidRPr="00243F48">
              <w:t>Combined Right</w:t>
            </w:r>
            <w:r w:rsidRPr="00243F48">
              <w:rPr>
                <w:vertAlign w:val="superscript"/>
              </w:rPr>
              <w:t>3</w:t>
            </w:r>
          </w:p>
        </w:tc>
        <w:tc>
          <w:tcPr>
            <w:tcW w:w="2253" w:type="dxa"/>
          </w:tcPr>
          <w:p w:rsidR="00235117" w:rsidRPr="00243F48" w:rsidRDefault="00235117" w:rsidP="006D63A8">
            <w:pPr>
              <w:spacing w:before="120" w:after="120"/>
            </w:pPr>
            <w:r w:rsidRPr="00243F48">
              <w:t>1961, 1963, 1978</w:t>
            </w:r>
          </w:p>
        </w:tc>
        <w:tc>
          <w:tcPr>
            <w:tcW w:w="2165" w:type="dxa"/>
          </w:tcPr>
          <w:p w:rsidR="00235117" w:rsidRPr="00243F48" w:rsidRDefault="00235117" w:rsidP="006D63A8">
            <w:pPr>
              <w:spacing w:before="120" w:after="120"/>
            </w:pPr>
            <w:r w:rsidRPr="00243F48">
              <w:t xml:space="preserve">49 </w:t>
            </w:r>
            <w:proofErr w:type="spellStart"/>
            <w:r w:rsidRPr="00243F48">
              <w:t>cfs</w:t>
            </w:r>
            <w:proofErr w:type="spellEnd"/>
          </w:p>
        </w:tc>
        <w:tc>
          <w:tcPr>
            <w:tcW w:w="2342" w:type="dxa"/>
          </w:tcPr>
          <w:p w:rsidR="00235117" w:rsidRPr="00243F48" w:rsidRDefault="00235117" w:rsidP="006D63A8">
            <w:pPr>
              <w:spacing w:before="120" w:after="120"/>
            </w:pPr>
            <w:r w:rsidRPr="00243F48">
              <w:t>A28759</w:t>
            </w:r>
          </w:p>
        </w:tc>
      </w:tr>
      <w:tr w:rsidR="00235117" w:rsidRPr="00243F48" w:rsidTr="007126EE">
        <w:trPr>
          <w:trHeight w:val="577"/>
          <w:jc w:val="center"/>
        </w:trPr>
        <w:tc>
          <w:tcPr>
            <w:tcW w:w="2257" w:type="dxa"/>
          </w:tcPr>
          <w:p w:rsidR="00235117" w:rsidRPr="00243F48" w:rsidRDefault="00235117" w:rsidP="006D63A8">
            <w:pPr>
              <w:spacing w:before="120" w:after="120"/>
            </w:pPr>
            <w:r w:rsidRPr="00243F48">
              <w:t xml:space="preserve">DeWitt Spring </w:t>
            </w:r>
          </w:p>
          <w:p w:rsidR="00235117" w:rsidRPr="00243F48" w:rsidRDefault="00235117" w:rsidP="006D63A8">
            <w:pPr>
              <w:spacing w:before="120" w:after="120"/>
              <w:rPr>
                <w:vertAlign w:val="superscript"/>
              </w:rPr>
            </w:pPr>
            <w:r w:rsidRPr="00243F48">
              <w:t>(Apr-Sep)</w:t>
            </w:r>
            <w:r w:rsidRPr="00243F48">
              <w:rPr>
                <w:vertAlign w:val="superscript"/>
              </w:rPr>
              <w:t>4</w:t>
            </w:r>
          </w:p>
        </w:tc>
        <w:tc>
          <w:tcPr>
            <w:tcW w:w="2253" w:type="dxa"/>
          </w:tcPr>
          <w:p w:rsidR="00235117" w:rsidRPr="00243F48" w:rsidRDefault="00235117" w:rsidP="006D63A8">
            <w:pPr>
              <w:spacing w:before="120" w:after="120"/>
            </w:pPr>
            <w:r w:rsidRPr="00243F48">
              <w:t>1865</w:t>
            </w:r>
          </w:p>
        </w:tc>
        <w:tc>
          <w:tcPr>
            <w:tcW w:w="2165" w:type="dxa"/>
          </w:tcPr>
          <w:p w:rsidR="00235117" w:rsidRPr="00243F48" w:rsidRDefault="00235117" w:rsidP="006D63A8">
            <w:pPr>
              <w:spacing w:before="120" w:after="120"/>
            </w:pPr>
            <w:r w:rsidRPr="00243F48">
              <w:t xml:space="preserve">10 </w:t>
            </w:r>
            <w:proofErr w:type="spellStart"/>
            <w:r w:rsidRPr="00243F48">
              <w:t>cfs</w:t>
            </w:r>
            <w:proofErr w:type="spellEnd"/>
          </w:p>
        </w:tc>
        <w:tc>
          <w:tcPr>
            <w:tcW w:w="2342" w:type="dxa"/>
          </w:tcPr>
          <w:p w:rsidR="00235117" w:rsidRPr="00243F48" w:rsidRDefault="00235117" w:rsidP="006D63A8">
            <w:pPr>
              <w:spacing w:before="120" w:after="120"/>
            </w:pPr>
            <w:r w:rsidRPr="00243F48">
              <w:t>Contract Exchange</w:t>
            </w:r>
          </w:p>
        </w:tc>
      </w:tr>
      <w:tr w:rsidR="00235117" w:rsidRPr="00243F48" w:rsidTr="007126EE">
        <w:trPr>
          <w:trHeight w:val="577"/>
          <w:jc w:val="center"/>
        </w:trPr>
        <w:tc>
          <w:tcPr>
            <w:tcW w:w="2257" w:type="dxa"/>
          </w:tcPr>
          <w:p w:rsidR="00235117" w:rsidRPr="00243F48" w:rsidRDefault="00235117" w:rsidP="006D63A8">
            <w:pPr>
              <w:spacing w:before="120" w:after="120"/>
            </w:pPr>
            <w:r w:rsidRPr="00243F48">
              <w:t xml:space="preserve">DeWitt Spring </w:t>
            </w:r>
          </w:p>
          <w:p w:rsidR="00235117" w:rsidRPr="00243F48" w:rsidRDefault="00235117" w:rsidP="006D63A8">
            <w:pPr>
              <w:spacing w:before="120" w:after="120"/>
              <w:rPr>
                <w:vertAlign w:val="superscript"/>
              </w:rPr>
            </w:pPr>
            <w:r w:rsidRPr="00243F48">
              <w:t>(Apr-Sep)</w:t>
            </w:r>
            <w:r w:rsidRPr="00243F48">
              <w:rPr>
                <w:vertAlign w:val="superscript"/>
              </w:rPr>
              <w:t>4</w:t>
            </w:r>
          </w:p>
        </w:tc>
        <w:tc>
          <w:tcPr>
            <w:tcW w:w="2253" w:type="dxa"/>
          </w:tcPr>
          <w:p w:rsidR="00235117" w:rsidRPr="00243F48" w:rsidRDefault="00235117" w:rsidP="006D63A8">
            <w:pPr>
              <w:spacing w:before="120" w:after="120"/>
            </w:pPr>
            <w:r w:rsidRPr="00243F48">
              <w:t>1865</w:t>
            </w:r>
          </w:p>
        </w:tc>
        <w:tc>
          <w:tcPr>
            <w:tcW w:w="2165" w:type="dxa"/>
          </w:tcPr>
          <w:p w:rsidR="00235117" w:rsidRPr="00243F48" w:rsidRDefault="00235117" w:rsidP="006D63A8">
            <w:pPr>
              <w:spacing w:before="120" w:after="120"/>
            </w:pPr>
            <w:r w:rsidRPr="00243F48">
              <w:t xml:space="preserve">10 </w:t>
            </w:r>
            <w:proofErr w:type="spellStart"/>
            <w:r w:rsidRPr="00243F48">
              <w:t>cfs</w:t>
            </w:r>
            <w:proofErr w:type="spellEnd"/>
          </w:p>
        </w:tc>
        <w:tc>
          <w:tcPr>
            <w:tcW w:w="2342" w:type="dxa"/>
          </w:tcPr>
          <w:p w:rsidR="00235117" w:rsidRPr="00243F48" w:rsidRDefault="00235117" w:rsidP="006D63A8">
            <w:pPr>
              <w:spacing w:before="120" w:after="120"/>
            </w:pPr>
            <w:r w:rsidRPr="00243F48">
              <w:t>E1844</w:t>
            </w:r>
          </w:p>
        </w:tc>
      </w:tr>
      <w:tr w:rsidR="00235117" w:rsidRPr="00243F48" w:rsidTr="007126EE">
        <w:trPr>
          <w:trHeight w:val="563"/>
          <w:jc w:val="center"/>
        </w:trPr>
        <w:tc>
          <w:tcPr>
            <w:tcW w:w="4510" w:type="dxa"/>
            <w:gridSpan w:val="2"/>
          </w:tcPr>
          <w:p w:rsidR="00235117" w:rsidRPr="00243F48" w:rsidRDefault="00235117" w:rsidP="006D63A8">
            <w:pPr>
              <w:spacing w:before="120" w:after="120"/>
              <w:rPr>
                <w:vertAlign w:val="superscript"/>
              </w:rPr>
            </w:pPr>
            <w:r w:rsidRPr="00243F48">
              <w:t>Total Water Rights Available</w:t>
            </w:r>
            <w:r w:rsidRPr="00243F48">
              <w:rPr>
                <w:vertAlign w:val="superscript"/>
              </w:rPr>
              <w:t>5</w:t>
            </w:r>
          </w:p>
        </w:tc>
        <w:tc>
          <w:tcPr>
            <w:tcW w:w="4507" w:type="dxa"/>
            <w:gridSpan w:val="2"/>
          </w:tcPr>
          <w:p w:rsidR="00235117" w:rsidRPr="00243F48" w:rsidRDefault="00235117" w:rsidP="006D63A8">
            <w:pPr>
              <w:spacing w:before="120" w:after="120"/>
            </w:pPr>
            <w:r w:rsidRPr="00243F48">
              <w:t xml:space="preserve">83 </w:t>
            </w:r>
            <w:proofErr w:type="spellStart"/>
            <w:r w:rsidRPr="00243F48">
              <w:t>cfs</w:t>
            </w:r>
            <w:proofErr w:type="spellEnd"/>
            <w:r w:rsidRPr="00243F48">
              <w:t xml:space="preserve"> (Division of Water Rights)</w:t>
            </w:r>
          </w:p>
          <w:p w:rsidR="00235117" w:rsidRPr="00243F48" w:rsidRDefault="00235117" w:rsidP="006D63A8">
            <w:pPr>
              <w:spacing w:before="120" w:after="120"/>
            </w:pPr>
            <w:r w:rsidRPr="00243F48">
              <w:t xml:space="preserve">56 </w:t>
            </w:r>
            <w:proofErr w:type="spellStart"/>
            <w:r w:rsidRPr="00243F48">
              <w:t>cfs</w:t>
            </w:r>
            <w:proofErr w:type="spellEnd"/>
            <w:r w:rsidRPr="00243F48">
              <w:t xml:space="preserve"> (Division of Drinking Water)</w:t>
            </w:r>
          </w:p>
        </w:tc>
      </w:tr>
      <w:tr w:rsidR="00235117" w:rsidRPr="00243F48" w:rsidTr="007126EE">
        <w:trPr>
          <w:trHeight w:val="563"/>
          <w:jc w:val="center"/>
        </w:trPr>
        <w:tc>
          <w:tcPr>
            <w:tcW w:w="4510" w:type="dxa"/>
            <w:gridSpan w:val="2"/>
          </w:tcPr>
          <w:p w:rsidR="00235117" w:rsidRPr="00243F48" w:rsidRDefault="00235117" w:rsidP="006D63A8">
            <w:pPr>
              <w:spacing w:before="120" w:after="120"/>
            </w:pPr>
            <w:r w:rsidRPr="00243F48">
              <w:t>Total Available Water During Peak Demand Season</w:t>
            </w:r>
          </w:p>
        </w:tc>
        <w:tc>
          <w:tcPr>
            <w:tcW w:w="4507" w:type="dxa"/>
            <w:gridSpan w:val="2"/>
          </w:tcPr>
          <w:p w:rsidR="00235117" w:rsidRPr="00243F48" w:rsidRDefault="00235117" w:rsidP="006D63A8">
            <w:pPr>
              <w:spacing w:before="120" w:after="120"/>
            </w:pPr>
            <w:r w:rsidRPr="00243F48">
              <w:t xml:space="preserve">79 </w:t>
            </w:r>
            <w:proofErr w:type="spellStart"/>
            <w:r w:rsidRPr="00243F48">
              <w:t>cfs</w:t>
            </w:r>
            <w:proofErr w:type="spellEnd"/>
            <w:r w:rsidRPr="00243F48">
              <w:t xml:space="preserve"> (Division of Water Rights)</w:t>
            </w:r>
          </w:p>
          <w:p w:rsidR="00235117" w:rsidRPr="00243F48" w:rsidRDefault="00235117" w:rsidP="006D63A8">
            <w:pPr>
              <w:spacing w:before="120" w:after="120"/>
            </w:pPr>
            <w:r w:rsidRPr="00243F48">
              <w:t xml:space="preserve">56 </w:t>
            </w:r>
            <w:proofErr w:type="spellStart"/>
            <w:r w:rsidRPr="00243F48">
              <w:t>cfs</w:t>
            </w:r>
            <w:proofErr w:type="spellEnd"/>
            <w:r w:rsidRPr="00243F48">
              <w:t xml:space="preserve"> (Division of Drinking Water)</w:t>
            </w:r>
          </w:p>
        </w:tc>
      </w:tr>
    </w:tbl>
    <w:p w:rsidR="00235117" w:rsidRDefault="00235117" w:rsidP="006D63A8">
      <w:pPr>
        <w:spacing w:before="120" w:after="120"/>
      </w:pPr>
      <w:r w:rsidRPr="00C24967">
        <w:rPr>
          <w:noProof/>
        </w:rPr>
        <w:drawing>
          <wp:anchor distT="0" distB="0" distL="114300" distR="114300" simplePos="0" relativeHeight="251659264" behindDoc="1" locked="0" layoutInCell="1" allowOverlap="1" wp14:anchorId="6F38B368" wp14:editId="6D478920">
            <wp:simplePos x="0" y="0"/>
            <wp:positionH relativeFrom="column">
              <wp:posOffset>0</wp:posOffset>
            </wp:positionH>
            <wp:positionV relativeFrom="paragraph">
              <wp:posOffset>59849</wp:posOffset>
            </wp:positionV>
            <wp:extent cx="5695950" cy="142033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rrrr.PNG"/>
                    <pic:cNvPicPr/>
                  </pic:nvPicPr>
                  <pic:blipFill>
                    <a:blip r:embed="rId12">
                      <a:extLst>
                        <a:ext uri="{28A0092B-C50C-407E-A947-70E740481C1C}">
                          <a14:useLocalDpi xmlns:a14="http://schemas.microsoft.com/office/drawing/2010/main" val="0"/>
                        </a:ext>
                      </a:extLst>
                    </a:blip>
                    <a:stretch>
                      <a:fillRect/>
                    </a:stretch>
                  </pic:blipFill>
                  <pic:spPr>
                    <a:xfrm>
                      <a:off x="0" y="0"/>
                      <a:ext cx="5714761" cy="1425027"/>
                    </a:xfrm>
                    <a:prstGeom prst="rect">
                      <a:avLst/>
                    </a:prstGeom>
                  </pic:spPr>
                </pic:pic>
              </a:graphicData>
            </a:graphic>
            <wp14:sizeRelH relativeFrom="margin">
              <wp14:pctWidth>0</wp14:pctWidth>
            </wp14:sizeRelH>
            <wp14:sizeRelV relativeFrom="margin">
              <wp14:pctHeight>0</wp14:pctHeight>
            </wp14:sizeRelV>
          </wp:anchor>
        </w:drawing>
      </w:r>
    </w:p>
    <w:p w:rsidR="00235117" w:rsidRPr="003E46EA" w:rsidRDefault="00235117" w:rsidP="006D63A8">
      <w:pPr>
        <w:spacing w:before="120" w:after="120"/>
      </w:pPr>
    </w:p>
    <w:p w:rsidR="00235117" w:rsidRPr="003E46EA" w:rsidRDefault="00235117" w:rsidP="006D63A8">
      <w:pPr>
        <w:spacing w:before="120" w:after="120"/>
      </w:pPr>
    </w:p>
    <w:p w:rsidR="00235117" w:rsidRPr="003E46EA" w:rsidRDefault="00235117" w:rsidP="006D63A8">
      <w:pPr>
        <w:spacing w:before="120" w:after="120"/>
      </w:pPr>
    </w:p>
    <w:p w:rsidR="00235117" w:rsidRPr="003E46EA" w:rsidRDefault="00235117" w:rsidP="006D63A8">
      <w:pPr>
        <w:spacing w:before="120" w:after="120"/>
      </w:pPr>
    </w:p>
    <w:p w:rsidR="00235117" w:rsidRDefault="00235117" w:rsidP="006D63A8">
      <w:pPr>
        <w:spacing w:before="120" w:after="120"/>
      </w:pPr>
    </w:p>
    <w:p w:rsidR="00235117" w:rsidRDefault="00235117" w:rsidP="006D63A8">
      <w:pPr>
        <w:spacing w:before="120" w:after="120"/>
      </w:pPr>
      <w:r w:rsidRPr="00C24967">
        <w:rPr>
          <w:noProof/>
        </w:rPr>
        <w:lastRenderedPageBreak/>
        <w:drawing>
          <wp:inline distT="0" distB="0" distL="0" distR="0" wp14:anchorId="6C6483A3" wp14:editId="671AFD86">
            <wp:extent cx="5732145" cy="3275161"/>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dgss.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275161"/>
                    </a:xfrm>
                    <a:prstGeom prst="rect">
                      <a:avLst/>
                    </a:prstGeom>
                  </pic:spPr>
                </pic:pic>
              </a:graphicData>
            </a:graphic>
          </wp:inline>
        </w:drawing>
      </w:r>
    </w:p>
    <w:p w:rsidR="00235117" w:rsidRDefault="00235117" w:rsidP="006D63A8">
      <w:pPr>
        <w:spacing w:before="120" w:after="120"/>
        <w:sectPr w:rsidR="00235117" w:rsidSect="007420F0">
          <w:pgSz w:w="11907" w:h="16839" w:code="9"/>
          <w:pgMar w:top="1440" w:right="1440" w:bottom="1440" w:left="1440" w:header="720" w:footer="720" w:gutter="0"/>
          <w:cols w:space="720"/>
          <w:docGrid w:linePitch="360"/>
        </w:sectPr>
      </w:pPr>
      <w:r>
        <w:t>Figure 2 – Dewitt Springs Water Rights and Logan River Flow</w:t>
      </w:r>
    </w:p>
    <w:p w:rsidR="00235117" w:rsidRDefault="00235117" w:rsidP="006D63A8">
      <w:pPr>
        <w:spacing w:before="120" w:after="120"/>
        <w:jc w:val="center"/>
      </w:pPr>
      <w:r w:rsidRPr="00C24967">
        <w:rPr>
          <w:noProof/>
        </w:rPr>
        <w:lastRenderedPageBreak/>
        <w:drawing>
          <wp:inline distT="0" distB="0" distL="0" distR="0" wp14:anchorId="117CDA85" wp14:editId="7DD7D5D0">
            <wp:extent cx="5732145" cy="388879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sfsa.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888795"/>
                    </a:xfrm>
                    <a:prstGeom prst="rect">
                      <a:avLst/>
                    </a:prstGeom>
                  </pic:spPr>
                </pic:pic>
              </a:graphicData>
            </a:graphic>
          </wp:inline>
        </w:drawing>
      </w:r>
    </w:p>
    <w:p w:rsidR="00235117" w:rsidRDefault="00235117" w:rsidP="006D63A8">
      <w:pPr>
        <w:spacing w:before="120" w:after="120"/>
      </w:pPr>
      <w:r>
        <w:t>Figure 3 – Dewitt Spring Rights and Diversions</w:t>
      </w:r>
    </w:p>
    <w:p w:rsidR="00235117" w:rsidRDefault="00235117" w:rsidP="006D63A8">
      <w:pPr>
        <w:spacing w:before="120" w:after="120"/>
      </w:pPr>
    </w:p>
    <w:p w:rsidR="00235117" w:rsidRDefault="00235117" w:rsidP="006D63A8">
      <w:pPr>
        <w:spacing w:before="120" w:after="120"/>
      </w:pPr>
      <w:r w:rsidRPr="00C24967">
        <w:rPr>
          <w:noProof/>
        </w:rPr>
        <w:lastRenderedPageBreak/>
        <w:drawing>
          <wp:inline distT="0" distB="0" distL="0" distR="0" wp14:anchorId="5C3280ED" wp14:editId="1888E163">
            <wp:extent cx="5732145" cy="1425687"/>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ttt.PNG"/>
                    <pic:cNvPicPr/>
                  </pic:nvPicPr>
                  <pic:blipFill>
                    <a:blip r:embed="rId15">
                      <a:extLst>
                        <a:ext uri="{28A0092B-C50C-407E-A947-70E740481C1C}">
                          <a14:useLocalDpi xmlns:a14="http://schemas.microsoft.com/office/drawing/2010/main" val="0"/>
                        </a:ext>
                      </a:extLst>
                    </a:blip>
                    <a:stretch>
                      <a:fillRect/>
                    </a:stretch>
                  </pic:blipFill>
                  <pic:spPr>
                    <a:xfrm>
                      <a:off x="0" y="0"/>
                      <a:ext cx="5732145" cy="1425687"/>
                    </a:xfrm>
                    <a:prstGeom prst="rect">
                      <a:avLst/>
                    </a:prstGeom>
                  </pic:spPr>
                </pic:pic>
              </a:graphicData>
            </a:graphic>
          </wp:inline>
        </w:drawing>
      </w:r>
    </w:p>
    <w:p w:rsidR="00235117" w:rsidRDefault="00235117" w:rsidP="006D63A8">
      <w:pPr>
        <w:spacing w:before="120" w:after="120"/>
      </w:pPr>
      <w:r>
        <w:t xml:space="preserve">Table 1 – Logan City Municipal Water Production Facilities </w:t>
      </w:r>
    </w:p>
    <w:p w:rsidR="00136BB9" w:rsidRDefault="00136BB9" w:rsidP="00383E68">
      <w:pPr>
        <w:spacing w:before="120" w:after="120"/>
        <w:rPr>
          <w:highlight w:val="yellow"/>
        </w:rPr>
      </w:pPr>
    </w:p>
    <w:p w:rsidR="00500620" w:rsidRDefault="00500620" w:rsidP="006D63A8">
      <w:pPr>
        <w:pStyle w:val="Heading2"/>
        <w:spacing w:before="120" w:after="120" w:line="480" w:lineRule="auto"/>
        <w:rPr>
          <w:color w:val="1F4D78" w:themeColor="accent1" w:themeShade="7F"/>
          <w:sz w:val="24"/>
          <w:szCs w:val="24"/>
        </w:rPr>
        <w:sectPr w:rsidR="00500620" w:rsidSect="00235117">
          <w:type w:val="continuous"/>
          <w:pgSz w:w="11907" w:h="16839" w:code="9"/>
          <w:pgMar w:top="1440" w:right="1440" w:bottom="1440" w:left="1440" w:header="720" w:footer="720" w:gutter="0"/>
          <w:cols w:space="720"/>
          <w:docGrid w:linePitch="360"/>
        </w:sectPr>
      </w:pPr>
    </w:p>
    <w:p w:rsidR="00235117" w:rsidRDefault="00235117" w:rsidP="006D63A8">
      <w:pPr>
        <w:pStyle w:val="Heading2"/>
        <w:spacing w:before="120" w:after="120" w:line="480" w:lineRule="auto"/>
        <w:rPr>
          <w:color w:val="1F4D78" w:themeColor="accent1" w:themeShade="7F"/>
          <w:sz w:val="24"/>
          <w:szCs w:val="24"/>
        </w:rPr>
      </w:pPr>
      <w:r w:rsidRPr="00B04780">
        <w:rPr>
          <w:color w:val="1F4D78" w:themeColor="accent1" w:themeShade="7F"/>
          <w:sz w:val="24"/>
          <w:szCs w:val="24"/>
        </w:rPr>
        <w:lastRenderedPageBreak/>
        <w:t>Appendix – IV Population and Water Demand Forecast</w:t>
      </w:r>
    </w:p>
    <w:p w:rsidR="00383E68" w:rsidRPr="00CA3F21" w:rsidRDefault="00383E68" w:rsidP="00383E68">
      <w:pPr>
        <w:spacing w:before="120" w:after="120"/>
      </w:pPr>
      <w:r w:rsidRPr="00CA3F21">
        <w:t>A rapid growth rate (Geometric) with R= 2.7%</w:t>
      </w:r>
    </w:p>
    <w:p w:rsidR="00383E68" w:rsidRPr="00CA3F21" w:rsidRDefault="00383E68" w:rsidP="00383E68">
      <w:pPr>
        <w:spacing w:before="120" w:after="120"/>
      </w:pPr>
      <w:r w:rsidRPr="00CA3F21">
        <w:t>A normal growth rate (Arithmetic) with R= 2.1%</w:t>
      </w:r>
    </w:p>
    <w:p w:rsidR="00383E68" w:rsidRPr="00CA3F21" w:rsidRDefault="00383E68" w:rsidP="00383E68">
      <w:pPr>
        <w:spacing w:before="120" w:after="120"/>
      </w:pPr>
      <w:r w:rsidRPr="00CA3F21">
        <w:t>A Slow growth rate (Declining) with R= 1.5%</w:t>
      </w:r>
    </w:p>
    <w:p w:rsidR="00383E68" w:rsidRPr="00383E68" w:rsidRDefault="00383E68" w:rsidP="00383E68"/>
    <w:p w:rsidR="00235117" w:rsidRDefault="00235117" w:rsidP="006D63A8">
      <w:pPr>
        <w:spacing w:before="120" w:after="120"/>
        <w:jc w:val="center"/>
      </w:pPr>
      <w:r>
        <w:rPr>
          <w:noProof/>
          <w:sz w:val="2"/>
          <w:szCs w:val="2"/>
        </w:rPr>
        <w:drawing>
          <wp:inline distT="0" distB="0" distL="0" distR="0" wp14:anchorId="563B4BE9" wp14:editId="3BDC0548">
            <wp:extent cx="4305300" cy="2638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5300" cy="2638425"/>
                    </a:xfrm>
                    <a:prstGeom prst="rect">
                      <a:avLst/>
                    </a:prstGeom>
                    <a:noFill/>
                    <a:ln>
                      <a:noFill/>
                    </a:ln>
                  </pic:spPr>
                </pic:pic>
              </a:graphicData>
            </a:graphic>
          </wp:inline>
        </w:drawing>
      </w:r>
    </w:p>
    <w:p w:rsidR="00235117" w:rsidRDefault="00235117" w:rsidP="006D63A8">
      <w:pPr>
        <w:spacing w:before="120" w:after="120"/>
      </w:pPr>
    </w:p>
    <w:p w:rsidR="00235117" w:rsidRDefault="00235117" w:rsidP="006D63A8">
      <w:pPr>
        <w:spacing w:before="120" w:after="120"/>
      </w:pPr>
      <w:r>
        <w:t>Figure 4 – Logan City Historic and Projected Population</w:t>
      </w:r>
    </w:p>
    <w:tbl>
      <w:tblPr>
        <w:tblW w:w="5915" w:type="dxa"/>
        <w:jc w:val="center"/>
        <w:tblLayout w:type="fixed"/>
        <w:tblCellMar>
          <w:left w:w="0" w:type="dxa"/>
          <w:right w:w="0" w:type="dxa"/>
        </w:tblCellMar>
        <w:tblLook w:val="0000" w:firstRow="0" w:lastRow="0" w:firstColumn="0" w:lastColumn="0" w:noHBand="0" w:noVBand="0"/>
      </w:tblPr>
      <w:tblGrid>
        <w:gridCol w:w="1045"/>
        <w:gridCol w:w="1110"/>
        <w:gridCol w:w="1410"/>
        <w:gridCol w:w="1344"/>
        <w:gridCol w:w="1006"/>
      </w:tblGrid>
      <w:tr w:rsidR="00383E68" w:rsidRPr="00D87F95" w:rsidTr="00383E68">
        <w:trPr>
          <w:trHeight w:hRule="exact" w:val="625"/>
          <w:jc w:val="center"/>
        </w:trPr>
        <w:tc>
          <w:tcPr>
            <w:tcW w:w="5915" w:type="dxa"/>
            <w:gridSpan w:val="5"/>
            <w:tcBorders>
              <w:top w:val="single" w:sz="4" w:space="0" w:color="auto"/>
              <w:left w:val="single" w:sz="4" w:space="0" w:color="auto"/>
              <w:bottom w:val="nil"/>
              <w:right w:val="single" w:sz="4" w:space="0" w:color="auto"/>
            </w:tcBorders>
            <w:shd w:val="clear" w:color="auto" w:fill="FFFFFF"/>
            <w:vAlign w:val="bottom"/>
          </w:tcPr>
          <w:p w:rsidR="00383E68" w:rsidRPr="00383E68" w:rsidRDefault="00383E68" w:rsidP="00383E68">
            <w:pPr>
              <w:pStyle w:val="MSGENFONTSTYLENAMETEMPLATEROLENUMBERMSGENFONTSTYLENAMEBYROLETEXT210"/>
              <w:shd w:val="clear" w:color="auto" w:fill="auto"/>
              <w:spacing w:before="120" w:after="120" w:line="210" w:lineRule="exact"/>
              <w:ind w:firstLine="0"/>
              <w:rPr>
                <w:b/>
                <w:bCs/>
                <w:color w:val="000000"/>
                <w:szCs w:val="24"/>
                <w:shd w:val="clear" w:color="auto" w:fill="FFFFFF"/>
              </w:rPr>
            </w:pPr>
            <w:r w:rsidRPr="00D87F95">
              <w:rPr>
                <w:rStyle w:val="MSGENFONTSTYLENAMETEMPLATEROLENUMBERMSGENFONTSTYLENAMEBYROLETEXT2MSGENFONTSTYLEMODIFERSIZE95"/>
                <w:color w:val="000000"/>
                <w:sz w:val="24"/>
                <w:szCs w:val="24"/>
              </w:rPr>
              <w:t>Logan Historic and Projected Population, 1960-2050</w:t>
            </w:r>
          </w:p>
        </w:tc>
      </w:tr>
      <w:tr w:rsidR="00383E68" w:rsidRPr="00D87F95" w:rsidTr="00383E68">
        <w:trPr>
          <w:trHeight w:hRule="exact" w:val="751"/>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Year</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Historic</w:t>
            </w:r>
          </w:p>
        </w:tc>
        <w:tc>
          <w:tcPr>
            <w:tcW w:w="14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jc w:val="left"/>
              <w:rPr>
                <w:szCs w:val="24"/>
              </w:rPr>
            </w:pPr>
            <w:r>
              <w:rPr>
                <w:rStyle w:val="MSGENFONTSTYLENAMETEMPLATEROLENUMBERMSGENFONTSTYLENAMEBYROLETEXT2MSGENFONTSTYLEMODIFERSIZE101"/>
                <w:color w:val="000000"/>
                <w:sz w:val="24"/>
                <w:szCs w:val="24"/>
              </w:rPr>
              <w:t xml:space="preserve">  </w:t>
            </w:r>
            <w:r w:rsidRPr="00D87F95">
              <w:rPr>
                <w:rStyle w:val="MSGENFONTSTYLENAMETEMPLATEROLENUMBERMSGENFONTSTYLENAMEBYROLETEXT2MSGENFONTSTYLEMODIFERSIZE101"/>
                <w:color w:val="000000"/>
                <w:sz w:val="24"/>
                <w:szCs w:val="24"/>
              </w:rPr>
              <w:t>1.5% AARC</w:t>
            </w:r>
          </w:p>
        </w:tc>
        <w:tc>
          <w:tcPr>
            <w:tcW w:w="1344"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40" w:firstLine="0"/>
              <w:jc w:val="left"/>
              <w:rPr>
                <w:szCs w:val="24"/>
              </w:rPr>
            </w:pPr>
            <w:r w:rsidRPr="00D87F95">
              <w:rPr>
                <w:rStyle w:val="MSGENFONTSTYLENAMETEMPLATEROLENUMBERMSGENFONTSTYLENAMEBYROLETEXT2MSGENFONTSTYLEMODIFERSIZE101"/>
                <w:color w:val="000000"/>
                <w:sz w:val="24"/>
                <w:szCs w:val="24"/>
              </w:rPr>
              <w:t>2.1% AARC</w:t>
            </w: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2.7%</w:t>
            </w:r>
          </w:p>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AARC</w:t>
            </w:r>
          </w:p>
        </w:tc>
      </w:tr>
      <w:tr w:rsidR="00383E68" w:rsidRPr="00D87F95" w:rsidTr="00383E68">
        <w:trPr>
          <w:trHeight w:hRule="exact" w:val="417"/>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1960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18,731</w:t>
            </w:r>
          </w:p>
        </w:tc>
        <w:tc>
          <w:tcPr>
            <w:tcW w:w="14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344"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spacing w:before="120" w:after="120"/>
              <w:rPr>
                <w:szCs w:val="24"/>
              </w:rPr>
            </w:pPr>
          </w:p>
        </w:tc>
      </w:tr>
      <w:tr w:rsidR="00383E68" w:rsidRPr="00D87F95" w:rsidTr="00383E68">
        <w:trPr>
          <w:trHeight w:hRule="exact" w:val="410"/>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300" w:firstLine="0"/>
              <w:jc w:val="left"/>
              <w:rPr>
                <w:szCs w:val="24"/>
              </w:rPr>
            </w:pPr>
            <w:r w:rsidRPr="00D87F95">
              <w:rPr>
                <w:rStyle w:val="MSGENFONTSTYLENAMETEMPLATEROLENUMBERMSGENFONTSTYLENAMEBYROLETEXT2MSGENFONTSTYLEMODIFERSIZE101"/>
                <w:color w:val="000000"/>
                <w:sz w:val="24"/>
                <w:szCs w:val="24"/>
              </w:rPr>
              <w:t>1970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22,333</w:t>
            </w:r>
          </w:p>
        </w:tc>
        <w:tc>
          <w:tcPr>
            <w:tcW w:w="14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344"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spacing w:before="120" w:after="120"/>
              <w:rPr>
                <w:szCs w:val="24"/>
              </w:rPr>
            </w:pPr>
          </w:p>
        </w:tc>
      </w:tr>
      <w:tr w:rsidR="00383E68" w:rsidRPr="00D87F95" w:rsidTr="00383E68">
        <w:trPr>
          <w:trHeight w:hRule="exact" w:val="391"/>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1980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26,844</w:t>
            </w:r>
          </w:p>
        </w:tc>
        <w:tc>
          <w:tcPr>
            <w:tcW w:w="14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344"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spacing w:before="120" w:after="120"/>
              <w:rPr>
                <w:szCs w:val="24"/>
              </w:rPr>
            </w:pPr>
          </w:p>
        </w:tc>
      </w:tr>
      <w:tr w:rsidR="00383E68" w:rsidRPr="00D87F95" w:rsidTr="00383E68">
        <w:trPr>
          <w:trHeight w:hRule="exact" w:val="417"/>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1990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32,762</w:t>
            </w:r>
          </w:p>
        </w:tc>
        <w:tc>
          <w:tcPr>
            <w:tcW w:w="14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344"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spacing w:before="120" w:after="120"/>
              <w:rPr>
                <w:szCs w:val="24"/>
              </w:rPr>
            </w:pPr>
          </w:p>
        </w:tc>
      </w:tr>
      <w:tr w:rsidR="00383E68" w:rsidRPr="00D87F95" w:rsidTr="00383E68">
        <w:trPr>
          <w:trHeight w:hRule="exact" w:val="429"/>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300" w:firstLine="0"/>
              <w:jc w:val="left"/>
              <w:rPr>
                <w:szCs w:val="24"/>
              </w:rPr>
            </w:pPr>
            <w:r w:rsidRPr="00D87F95">
              <w:rPr>
                <w:rStyle w:val="MSGENFONTSTYLENAMETEMPLATEROLENUMBERMSGENFONTSTYLENAMEBYROLETEXT2MSGENFONTSTYLEMODIFERSIZE101"/>
                <w:color w:val="000000"/>
                <w:sz w:val="24"/>
                <w:szCs w:val="24"/>
              </w:rPr>
              <w:t>2000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42,670</w:t>
            </w:r>
          </w:p>
        </w:tc>
        <w:tc>
          <w:tcPr>
            <w:tcW w:w="14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344"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006" w:type="dxa"/>
            <w:tcBorders>
              <w:top w:val="single" w:sz="4" w:space="0" w:color="auto"/>
              <w:left w:val="single" w:sz="4" w:space="0" w:color="auto"/>
              <w:bottom w:val="nil"/>
              <w:right w:val="single" w:sz="4" w:space="0" w:color="auto"/>
            </w:tcBorders>
            <w:shd w:val="clear" w:color="auto" w:fill="FFFFFF"/>
          </w:tcPr>
          <w:p w:rsidR="00383E68" w:rsidRPr="00D87F95" w:rsidRDefault="00383E68" w:rsidP="00383E68">
            <w:pPr>
              <w:spacing w:before="120" w:after="120"/>
              <w:rPr>
                <w:szCs w:val="24"/>
              </w:rPr>
            </w:pPr>
          </w:p>
        </w:tc>
      </w:tr>
      <w:tr w:rsidR="00383E68" w:rsidRPr="00D87F95" w:rsidTr="00383E68">
        <w:trPr>
          <w:trHeight w:hRule="exact" w:val="405"/>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300" w:firstLine="0"/>
              <w:jc w:val="left"/>
              <w:rPr>
                <w:szCs w:val="24"/>
              </w:rPr>
            </w:pPr>
            <w:r w:rsidRPr="00D87F95">
              <w:rPr>
                <w:rStyle w:val="MSGENFONTSTYLENAMETEMPLATEROLENUMBERMSGENFONTSTYLENAMEBYROLETEXT2MSGENFONTSTYLEMODIFERSIZE101"/>
                <w:color w:val="000000"/>
                <w:sz w:val="24"/>
                <w:szCs w:val="24"/>
              </w:rPr>
              <w:t>2010</w:t>
            </w:r>
          </w:p>
        </w:tc>
        <w:tc>
          <w:tcPr>
            <w:tcW w:w="11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48,375</w:t>
            </w:r>
          </w:p>
        </w:tc>
        <w:tc>
          <w:tcPr>
            <w:tcW w:w="14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48,375</w:t>
            </w:r>
          </w:p>
        </w:tc>
        <w:tc>
          <w:tcPr>
            <w:tcW w:w="1344"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48,375</w:t>
            </w:r>
          </w:p>
        </w:tc>
        <w:tc>
          <w:tcPr>
            <w:tcW w:w="1006" w:type="dxa"/>
            <w:tcBorders>
              <w:top w:val="single" w:sz="4" w:space="0" w:color="auto"/>
              <w:left w:val="single" w:sz="4" w:space="0" w:color="auto"/>
              <w:bottom w:val="nil"/>
              <w:right w:val="single" w:sz="4" w:space="0" w:color="auto"/>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48,375</w:t>
            </w:r>
          </w:p>
        </w:tc>
      </w:tr>
      <w:tr w:rsidR="00383E68" w:rsidRPr="00D87F95" w:rsidTr="00383E68">
        <w:trPr>
          <w:trHeight w:hRule="exact" w:val="405"/>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2020</w:t>
            </w:r>
          </w:p>
        </w:tc>
        <w:tc>
          <w:tcPr>
            <w:tcW w:w="11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4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56,141</w:t>
            </w:r>
          </w:p>
        </w:tc>
        <w:tc>
          <w:tcPr>
            <w:tcW w:w="1344"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59,550</w:t>
            </w:r>
          </w:p>
        </w:tc>
        <w:tc>
          <w:tcPr>
            <w:tcW w:w="1006" w:type="dxa"/>
            <w:tcBorders>
              <w:top w:val="single" w:sz="4" w:space="0" w:color="auto"/>
              <w:left w:val="single" w:sz="4" w:space="0" w:color="auto"/>
              <w:bottom w:val="nil"/>
              <w:right w:val="single" w:sz="4" w:space="0" w:color="auto"/>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63,143</w:t>
            </w:r>
          </w:p>
        </w:tc>
      </w:tr>
      <w:tr w:rsidR="00383E68" w:rsidRPr="00D87F95" w:rsidTr="00383E68">
        <w:trPr>
          <w:trHeight w:hRule="exact" w:val="405"/>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2030</w:t>
            </w:r>
          </w:p>
        </w:tc>
        <w:tc>
          <w:tcPr>
            <w:tcW w:w="11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4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65,154</w:t>
            </w:r>
          </w:p>
        </w:tc>
        <w:tc>
          <w:tcPr>
            <w:tcW w:w="1344"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73,305</w:t>
            </w:r>
          </w:p>
        </w:tc>
        <w:tc>
          <w:tcPr>
            <w:tcW w:w="1006" w:type="dxa"/>
            <w:tcBorders>
              <w:top w:val="single" w:sz="4" w:space="0" w:color="auto"/>
              <w:left w:val="single" w:sz="4" w:space="0" w:color="auto"/>
              <w:bottom w:val="nil"/>
              <w:right w:val="single" w:sz="4" w:space="0" w:color="auto"/>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82,419</w:t>
            </w:r>
          </w:p>
        </w:tc>
      </w:tr>
      <w:tr w:rsidR="00383E68" w:rsidRPr="00D87F95" w:rsidTr="00383E68">
        <w:trPr>
          <w:trHeight w:hRule="exact" w:val="417"/>
          <w:jc w:val="center"/>
        </w:trPr>
        <w:tc>
          <w:tcPr>
            <w:tcW w:w="1045"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2040</w:t>
            </w:r>
          </w:p>
        </w:tc>
        <w:tc>
          <w:tcPr>
            <w:tcW w:w="1110" w:type="dxa"/>
            <w:tcBorders>
              <w:top w:val="single" w:sz="4" w:space="0" w:color="auto"/>
              <w:left w:val="single" w:sz="4" w:space="0" w:color="auto"/>
              <w:bottom w:val="nil"/>
              <w:right w:val="nil"/>
            </w:tcBorders>
            <w:shd w:val="clear" w:color="auto" w:fill="FFFFFF"/>
          </w:tcPr>
          <w:p w:rsidR="00383E68" w:rsidRPr="00D87F95" w:rsidRDefault="00383E68" w:rsidP="00383E68">
            <w:pPr>
              <w:spacing w:before="120" w:after="120"/>
              <w:rPr>
                <w:szCs w:val="24"/>
              </w:rPr>
            </w:pPr>
          </w:p>
        </w:tc>
        <w:tc>
          <w:tcPr>
            <w:tcW w:w="1410"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75,614</w:t>
            </w:r>
          </w:p>
        </w:tc>
        <w:tc>
          <w:tcPr>
            <w:tcW w:w="1344" w:type="dxa"/>
            <w:tcBorders>
              <w:top w:val="single" w:sz="4" w:space="0" w:color="auto"/>
              <w:left w:val="single" w:sz="4" w:space="0" w:color="auto"/>
              <w:bottom w:val="nil"/>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90,239</w:t>
            </w:r>
          </w:p>
        </w:tc>
        <w:tc>
          <w:tcPr>
            <w:tcW w:w="1006" w:type="dxa"/>
            <w:tcBorders>
              <w:top w:val="single" w:sz="4" w:space="0" w:color="auto"/>
              <w:left w:val="single" w:sz="4" w:space="0" w:color="auto"/>
              <w:bottom w:val="nil"/>
              <w:right w:val="single" w:sz="4" w:space="0" w:color="auto"/>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107,581</w:t>
            </w:r>
          </w:p>
        </w:tc>
      </w:tr>
      <w:tr w:rsidR="00383E68" w:rsidRPr="00D87F95" w:rsidTr="00383E68">
        <w:trPr>
          <w:trHeight w:hRule="exact" w:val="431"/>
          <w:jc w:val="center"/>
        </w:trPr>
        <w:tc>
          <w:tcPr>
            <w:tcW w:w="1045" w:type="dxa"/>
            <w:tcBorders>
              <w:top w:val="single" w:sz="4" w:space="0" w:color="auto"/>
              <w:left w:val="single" w:sz="4" w:space="0" w:color="auto"/>
              <w:bottom w:val="single" w:sz="4" w:space="0" w:color="auto"/>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right="260" w:firstLine="0"/>
              <w:jc w:val="right"/>
              <w:rPr>
                <w:szCs w:val="24"/>
              </w:rPr>
            </w:pPr>
            <w:r w:rsidRPr="00D87F95">
              <w:rPr>
                <w:rStyle w:val="MSGENFONTSTYLENAMETEMPLATEROLENUMBERMSGENFONTSTYLENAMEBYROLETEXT2MSGENFONTSTYLEMODIFERSIZE101"/>
                <w:color w:val="000000"/>
                <w:sz w:val="24"/>
                <w:szCs w:val="24"/>
              </w:rPr>
              <w:t>2050</w:t>
            </w:r>
          </w:p>
        </w:tc>
        <w:tc>
          <w:tcPr>
            <w:tcW w:w="1110" w:type="dxa"/>
            <w:tcBorders>
              <w:top w:val="single" w:sz="4" w:space="0" w:color="auto"/>
              <w:left w:val="single" w:sz="4" w:space="0" w:color="auto"/>
              <w:bottom w:val="single" w:sz="4" w:space="0" w:color="auto"/>
              <w:right w:val="nil"/>
            </w:tcBorders>
            <w:shd w:val="clear" w:color="auto" w:fill="FFFFFF"/>
          </w:tcPr>
          <w:p w:rsidR="00383E68" w:rsidRPr="00D87F95" w:rsidRDefault="00383E68" w:rsidP="00383E68">
            <w:pPr>
              <w:spacing w:before="120" w:after="120"/>
              <w:rPr>
                <w:szCs w:val="24"/>
              </w:rPr>
            </w:pPr>
          </w:p>
        </w:tc>
        <w:tc>
          <w:tcPr>
            <w:tcW w:w="1410" w:type="dxa"/>
            <w:tcBorders>
              <w:top w:val="single" w:sz="4" w:space="0" w:color="auto"/>
              <w:left w:val="single" w:sz="4" w:space="0" w:color="auto"/>
              <w:bottom w:val="single" w:sz="4" w:space="0" w:color="auto"/>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87,753</w:t>
            </w:r>
          </w:p>
        </w:tc>
        <w:tc>
          <w:tcPr>
            <w:tcW w:w="1344" w:type="dxa"/>
            <w:tcBorders>
              <w:top w:val="single" w:sz="4" w:space="0" w:color="auto"/>
              <w:left w:val="single" w:sz="4" w:space="0" w:color="auto"/>
              <w:bottom w:val="single" w:sz="4" w:space="0" w:color="auto"/>
              <w:right w:val="nil"/>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firstLine="0"/>
              <w:rPr>
                <w:szCs w:val="24"/>
              </w:rPr>
            </w:pPr>
            <w:r w:rsidRPr="00D87F95">
              <w:rPr>
                <w:rStyle w:val="MSGENFONTSTYLENAMETEMPLATEROLENUMBERMSGENFONTSTYLENAMEBYROLETEXT2MSGENFONTSTYLEMODIFERSIZE101"/>
                <w:color w:val="000000"/>
                <w:sz w:val="24"/>
                <w:szCs w:val="24"/>
              </w:rPr>
              <w:t>111,084</w:t>
            </w:r>
          </w:p>
        </w:tc>
        <w:tc>
          <w:tcPr>
            <w:tcW w:w="1006" w:type="dxa"/>
            <w:tcBorders>
              <w:top w:val="single" w:sz="4" w:space="0" w:color="auto"/>
              <w:left w:val="single" w:sz="4" w:space="0" w:color="auto"/>
              <w:bottom w:val="single" w:sz="4" w:space="0" w:color="auto"/>
              <w:right w:val="single" w:sz="4" w:space="0" w:color="auto"/>
            </w:tcBorders>
            <w:shd w:val="clear" w:color="auto" w:fill="FFFFFF"/>
            <w:vAlign w:val="bottom"/>
          </w:tcPr>
          <w:p w:rsidR="00383E68" w:rsidRPr="00D87F95" w:rsidRDefault="00383E68" w:rsidP="00383E68">
            <w:pPr>
              <w:pStyle w:val="MSGENFONTSTYLENAMETEMPLATEROLENUMBERMSGENFONTSTYLENAMEBYROLETEXT210"/>
              <w:shd w:val="clear" w:color="auto" w:fill="auto"/>
              <w:spacing w:before="120" w:after="120" w:line="222" w:lineRule="exact"/>
              <w:ind w:left="180" w:firstLine="0"/>
              <w:jc w:val="left"/>
              <w:rPr>
                <w:szCs w:val="24"/>
              </w:rPr>
            </w:pPr>
            <w:r w:rsidRPr="00D87F95">
              <w:rPr>
                <w:rStyle w:val="MSGENFONTSTYLENAMETEMPLATEROLENUMBERMSGENFONTSTYLENAMEBYROLETEXT2MSGENFONTSTYLEMODIFERSIZE101"/>
                <w:color w:val="000000"/>
                <w:sz w:val="24"/>
                <w:szCs w:val="24"/>
              </w:rPr>
              <w:t>140,423</w:t>
            </w:r>
          </w:p>
        </w:tc>
      </w:tr>
    </w:tbl>
    <w:p w:rsidR="00383E68" w:rsidRPr="0063279F" w:rsidRDefault="00235117" w:rsidP="0063279F">
      <w:pPr>
        <w:spacing w:before="120" w:after="120"/>
        <w:rPr>
          <w:color w:val="000000"/>
          <w:shd w:val="clear" w:color="auto" w:fill="FFFFFF"/>
        </w:rPr>
      </w:pPr>
      <w:r>
        <w:rPr>
          <w:rStyle w:val="MSGENFONTSTYLENAMETEMPLATEROLENUMBERMSGENFONTSTYLENAMEBYROLETEXT2"/>
          <w:color w:val="000000"/>
        </w:rPr>
        <w:t xml:space="preserve">Table 2 – Summary of historic and projected population </w:t>
      </w:r>
    </w:p>
    <w:p w:rsidR="0063279F" w:rsidRDefault="00235117" w:rsidP="0063279F">
      <w:pPr>
        <w:spacing w:before="120" w:after="120"/>
        <w:jc w:val="center"/>
      </w:pPr>
      <w:r>
        <w:rPr>
          <w:noProof/>
        </w:rPr>
        <w:lastRenderedPageBreak/>
        <w:drawing>
          <wp:inline distT="0" distB="0" distL="0" distR="0" wp14:anchorId="02C37A9E" wp14:editId="2043C29D">
            <wp:extent cx="4276725" cy="2609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7">
                      <a:extLst>
                        <a:ext uri="{28A0092B-C50C-407E-A947-70E740481C1C}">
                          <a14:useLocalDpi xmlns:a14="http://schemas.microsoft.com/office/drawing/2010/main" val="0"/>
                        </a:ext>
                      </a:extLst>
                    </a:blip>
                    <a:stretch>
                      <a:fillRect/>
                    </a:stretch>
                  </pic:blipFill>
                  <pic:spPr>
                    <a:xfrm>
                      <a:off x="0" y="0"/>
                      <a:ext cx="4276725" cy="2609850"/>
                    </a:xfrm>
                    <a:prstGeom prst="rect">
                      <a:avLst/>
                    </a:prstGeom>
                  </pic:spPr>
                </pic:pic>
              </a:graphicData>
            </a:graphic>
          </wp:inline>
        </w:drawing>
      </w:r>
    </w:p>
    <w:p w:rsidR="00235117" w:rsidRDefault="00235117" w:rsidP="0063279F">
      <w:pPr>
        <w:spacing w:before="120" w:after="120"/>
      </w:pPr>
      <w:r>
        <w:t>Figure 5 – Logan Average Daily Water Use</w:t>
      </w:r>
    </w:p>
    <w:p w:rsidR="00235117" w:rsidRDefault="00235117" w:rsidP="006D63A8">
      <w:pPr>
        <w:tabs>
          <w:tab w:val="left" w:pos="3045"/>
        </w:tabs>
        <w:spacing w:before="120" w:after="120"/>
        <w:jc w:val="center"/>
      </w:pPr>
    </w:p>
    <w:p w:rsidR="00235117" w:rsidRDefault="00235117" w:rsidP="006D63A8">
      <w:pPr>
        <w:spacing w:before="120" w:after="120"/>
        <w:sectPr w:rsidR="00235117" w:rsidSect="00500620">
          <w:pgSz w:w="11907" w:h="16839" w:code="9"/>
          <w:pgMar w:top="1440" w:right="1440" w:bottom="1440" w:left="1440" w:header="720" w:footer="720" w:gutter="0"/>
          <w:cols w:space="720"/>
          <w:docGrid w:linePitch="360"/>
        </w:sectPr>
      </w:pPr>
    </w:p>
    <w:p w:rsidR="00BB32D9" w:rsidRDefault="00BE740B" w:rsidP="006D63A8">
      <w:pPr>
        <w:spacing w:before="120" w:after="120"/>
      </w:pPr>
      <w:bookmarkStart w:id="0" w:name="_GoBack"/>
      <w:bookmarkEnd w:id="0"/>
    </w:p>
    <w:sectPr w:rsidR="00BB32D9" w:rsidSect="00235117">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40B" w:rsidRDefault="00BE740B" w:rsidP="00984F25">
      <w:pPr>
        <w:spacing w:after="0" w:line="240" w:lineRule="auto"/>
      </w:pPr>
      <w:r>
        <w:separator/>
      </w:r>
    </w:p>
  </w:endnote>
  <w:endnote w:type="continuationSeparator" w:id="0">
    <w:p w:rsidR="00BE740B" w:rsidRDefault="00BE740B" w:rsidP="0098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381389"/>
      <w:docPartObj>
        <w:docPartGallery w:val="Page Numbers (Bottom of Page)"/>
        <w:docPartUnique/>
      </w:docPartObj>
    </w:sdtPr>
    <w:sdtEndPr>
      <w:rPr>
        <w:noProof/>
      </w:rPr>
    </w:sdtEndPr>
    <w:sdtContent>
      <w:p w:rsidR="00994B77" w:rsidRDefault="0061690C">
        <w:pPr>
          <w:pStyle w:val="Footer"/>
          <w:jc w:val="center"/>
        </w:pPr>
        <w:r>
          <w:fldChar w:fldCharType="begin"/>
        </w:r>
        <w:r>
          <w:instrText xml:space="preserve"> PAGE   \* MERGEFORMAT </w:instrText>
        </w:r>
        <w:r>
          <w:fldChar w:fldCharType="separate"/>
        </w:r>
        <w:r w:rsidR="00CA3F21">
          <w:rPr>
            <w:noProof/>
          </w:rPr>
          <w:t>10</w:t>
        </w:r>
        <w:r>
          <w:rPr>
            <w:noProof/>
          </w:rPr>
          <w:fldChar w:fldCharType="end"/>
        </w:r>
      </w:p>
    </w:sdtContent>
  </w:sdt>
  <w:p w:rsidR="00994B77" w:rsidRDefault="00BE74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40B" w:rsidRDefault="00BE740B" w:rsidP="00984F25">
      <w:pPr>
        <w:spacing w:after="0" w:line="240" w:lineRule="auto"/>
      </w:pPr>
      <w:r>
        <w:separator/>
      </w:r>
    </w:p>
  </w:footnote>
  <w:footnote w:type="continuationSeparator" w:id="0">
    <w:p w:rsidR="00BE740B" w:rsidRDefault="00BE740B" w:rsidP="00984F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1647A"/>
    <w:multiLevelType w:val="hybridMultilevel"/>
    <w:tmpl w:val="D28AAA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D3DFB"/>
    <w:multiLevelType w:val="hybridMultilevel"/>
    <w:tmpl w:val="F824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2345F"/>
    <w:multiLevelType w:val="hybridMultilevel"/>
    <w:tmpl w:val="F824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85D7F"/>
    <w:multiLevelType w:val="hybridMultilevel"/>
    <w:tmpl w:val="4CCA46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FD11F08"/>
    <w:multiLevelType w:val="hybridMultilevel"/>
    <w:tmpl w:val="F824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D57E1"/>
    <w:multiLevelType w:val="hybridMultilevel"/>
    <w:tmpl w:val="F82436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17"/>
    <w:rsid w:val="0009052E"/>
    <w:rsid w:val="0009234E"/>
    <w:rsid w:val="000C4A8E"/>
    <w:rsid w:val="00136BB9"/>
    <w:rsid w:val="00215F65"/>
    <w:rsid w:val="00235117"/>
    <w:rsid w:val="00257BAD"/>
    <w:rsid w:val="002F2C77"/>
    <w:rsid w:val="003719FE"/>
    <w:rsid w:val="00383E68"/>
    <w:rsid w:val="003D20EF"/>
    <w:rsid w:val="004007DE"/>
    <w:rsid w:val="00417FC8"/>
    <w:rsid w:val="00500620"/>
    <w:rsid w:val="005039F1"/>
    <w:rsid w:val="0061690C"/>
    <w:rsid w:val="0063279F"/>
    <w:rsid w:val="0065135D"/>
    <w:rsid w:val="006D63A8"/>
    <w:rsid w:val="007420F0"/>
    <w:rsid w:val="00766A66"/>
    <w:rsid w:val="00777754"/>
    <w:rsid w:val="007950CE"/>
    <w:rsid w:val="00811E44"/>
    <w:rsid w:val="008433CC"/>
    <w:rsid w:val="00857F0E"/>
    <w:rsid w:val="008C4583"/>
    <w:rsid w:val="008C56A2"/>
    <w:rsid w:val="008E73C8"/>
    <w:rsid w:val="00924689"/>
    <w:rsid w:val="00940460"/>
    <w:rsid w:val="00984F25"/>
    <w:rsid w:val="009A4D44"/>
    <w:rsid w:val="00A642F8"/>
    <w:rsid w:val="00B36E45"/>
    <w:rsid w:val="00B60A5C"/>
    <w:rsid w:val="00BE740B"/>
    <w:rsid w:val="00BF7EF0"/>
    <w:rsid w:val="00C32291"/>
    <w:rsid w:val="00C941A6"/>
    <w:rsid w:val="00CA3F21"/>
    <w:rsid w:val="00D23835"/>
    <w:rsid w:val="00D87F95"/>
    <w:rsid w:val="00DC1A70"/>
    <w:rsid w:val="00DE0396"/>
    <w:rsid w:val="00DE6C11"/>
    <w:rsid w:val="00E5417E"/>
    <w:rsid w:val="00EB05C5"/>
    <w:rsid w:val="00EC7C7F"/>
    <w:rsid w:val="00ED6440"/>
    <w:rsid w:val="00EE1CA8"/>
    <w:rsid w:val="00F073E9"/>
    <w:rsid w:val="00F24498"/>
    <w:rsid w:val="00FD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9A3855-E1B1-4C1D-9F69-FFA0338B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440"/>
    <w:rPr>
      <w:sz w:val="24"/>
    </w:rPr>
  </w:style>
  <w:style w:type="paragraph" w:styleId="Heading1">
    <w:name w:val="heading 1"/>
    <w:basedOn w:val="Normal"/>
    <w:next w:val="Normal"/>
    <w:link w:val="Heading1Char"/>
    <w:uiPriority w:val="9"/>
    <w:qFormat/>
    <w:rsid w:val="002351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5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511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11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51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511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5117"/>
    <w:pPr>
      <w:ind w:left="720"/>
      <w:contextualSpacing/>
    </w:pPr>
  </w:style>
  <w:style w:type="table" w:styleId="TableGrid">
    <w:name w:val="Table Grid"/>
    <w:basedOn w:val="TableNormal"/>
    <w:uiPriority w:val="39"/>
    <w:rsid w:val="00235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235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117"/>
  </w:style>
  <w:style w:type="paragraph" w:styleId="Bibliography">
    <w:name w:val="Bibliography"/>
    <w:basedOn w:val="Normal"/>
    <w:next w:val="Normal"/>
    <w:uiPriority w:val="37"/>
    <w:unhideWhenUsed/>
    <w:rsid w:val="00235117"/>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10"/>
    <w:uiPriority w:val="99"/>
    <w:rsid w:val="00235117"/>
    <w:rPr>
      <w:shd w:val="clear" w:color="auto" w:fill="FFFFFF"/>
    </w:rPr>
  </w:style>
  <w:style w:type="paragraph" w:customStyle="1" w:styleId="MSGENFONTSTYLENAMETEMPLATEROLENUMBERMSGENFONTSTYLENAMEBYROLETEXT210">
    <w:name w:val="MSG_EN_FONT_STYLE_NAME_TEMPLATE_ROLE_NUMBER MSG_EN_FONT_STYLE_NAME_BY_ROLE_TEXT 210"/>
    <w:basedOn w:val="Normal"/>
    <w:link w:val="MSGENFONTSTYLENAMETEMPLATEROLENUMBERMSGENFONTSTYLENAMEBYROLETEXT2"/>
    <w:uiPriority w:val="99"/>
    <w:rsid w:val="00235117"/>
    <w:pPr>
      <w:widowControl w:val="0"/>
      <w:shd w:val="clear" w:color="auto" w:fill="FFFFFF"/>
      <w:spacing w:before="240" w:after="760" w:line="266" w:lineRule="exact"/>
      <w:ind w:hanging="900"/>
      <w:jc w:val="center"/>
    </w:p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uiPriority w:val="99"/>
    <w:rsid w:val="00235117"/>
    <w:rPr>
      <w:sz w:val="20"/>
      <w:szCs w:val="20"/>
      <w:shd w:val="clear" w:color="auto" w:fill="FFFFFF"/>
    </w:rPr>
  </w:style>
  <w:style w:type="character" w:customStyle="1" w:styleId="MSGENFONTSTYLENAMETEMPLATEROLENUMBERMSGENFONTSTYLENAMEBYROLETEXT2MSGENFONTSTYLEMODIFERSIZE95">
    <w:name w:val="MSG_EN_FONT_STYLE_NAME_TEMPLATE_ROLE_NUMBER MSG_EN_FONT_STYLE_NAME_BY_ROLE_TEXT 2 + MSG_EN_FONT_STYLE_MODIFER_SIZE 9.5"/>
    <w:aliases w:val="MSG_EN_FONT_STYLE_MODIFER_BOLD5"/>
    <w:basedOn w:val="MSGENFONTSTYLENAMETEMPLATEROLENUMBERMSGENFONTSTYLENAMEBYROLETEXT2"/>
    <w:uiPriority w:val="99"/>
    <w:rsid w:val="00235117"/>
    <w:rPr>
      <w:b/>
      <w:bCs/>
      <w:sz w:val="19"/>
      <w:szCs w:val="19"/>
      <w:u w:val="none"/>
      <w:shd w:val="clear" w:color="auto" w:fill="FFFFFF"/>
    </w:rPr>
  </w:style>
  <w:style w:type="character" w:customStyle="1" w:styleId="MSGENFONTSTYLENAMETEMPLATEROLENUMBERMSGENFONTSTYLENAMEBYROLETEXT2MSGENFONTSTYLEMODIFERSIZE101">
    <w:name w:val="MSG_EN_FONT_STYLE_NAME_TEMPLATE_ROLE_NUMBER MSG_EN_FONT_STYLE_NAME_BY_ROLE_TEXT 2 + MSG_EN_FONT_STYLE_MODIFER_SIZE 101"/>
    <w:aliases w:val="MSG_EN_FONT_STYLE_MODIFER_BOLD4"/>
    <w:basedOn w:val="MSGENFONTSTYLENAMETEMPLATEROLENUMBERMSGENFONTSTYLENAMEBYROLETEXT2"/>
    <w:uiPriority w:val="99"/>
    <w:rsid w:val="00235117"/>
    <w:rPr>
      <w:b/>
      <w:bCs/>
      <w:sz w:val="20"/>
      <w:szCs w:val="20"/>
      <w:u w:val="none"/>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uiPriority w:val="99"/>
    <w:rsid w:val="00235117"/>
    <w:pPr>
      <w:widowControl w:val="0"/>
      <w:shd w:val="clear" w:color="auto" w:fill="FFFFFF"/>
      <w:spacing w:after="0" w:line="226" w:lineRule="exact"/>
    </w:pPr>
    <w:rPr>
      <w:sz w:val="20"/>
      <w:szCs w:val="20"/>
    </w:rPr>
  </w:style>
  <w:style w:type="paragraph" w:styleId="Header">
    <w:name w:val="header"/>
    <w:basedOn w:val="Normal"/>
    <w:link w:val="HeaderChar"/>
    <w:uiPriority w:val="99"/>
    <w:unhideWhenUsed/>
    <w:rsid w:val="00984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037491">
      <w:bodyDiv w:val="1"/>
      <w:marLeft w:val="0"/>
      <w:marRight w:val="0"/>
      <w:marTop w:val="0"/>
      <w:marBottom w:val="0"/>
      <w:divBdr>
        <w:top w:val="none" w:sz="0" w:space="0" w:color="auto"/>
        <w:left w:val="none" w:sz="0" w:space="0" w:color="auto"/>
        <w:bottom w:val="none" w:sz="0" w:space="0" w:color="auto"/>
        <w:right w:val="none" w:sz="0" w:space="0" w:color="auto"/>
      </w:divBdr>
    </w:div>
    <w:div w:id="609119484">
      <w:bodyDiv w:val="1"/>
      <w:marLeft w:val="0"/>
      <w:marRight w:val="0"/>
      <w:marTop w:val="0"/>
      <w:marBottom w:val="0"/>
      <w:divBdr>
        <w:top w:val="none" w:sz="0" w:space="0" w:color="auto"/>
        <w:left w:val="none" w:sz="0" w:space="0" w:color="auto"/>
        <w:bottom w:val="none" w:sz="0" w:space="0" w:color="auto"/>
        <w:right w:val="none" w:sz="0" w:space="0" w:color="auto"/>
      </w:divBdr>
    </w:div>
    <w:div w:id="618876639">
      <w:bodyDiv w:val="1"/>
      <w:marLeft w:val="0"/>
      <w:marRight w:val="0"/>
      <w:marTop w:val="0"/>
      <w:marBottom w:val="0"/>
      <w:divBdr>
        <w:top w:val="none" w:sz="0" w:space="0" w:color="auto"/>
        <w:left w:val="none" w:sz="0" w:space="0" w:color="auto"/>
        <w:bottom w:val="none" w:sz="0" w:space="0" w:color="auto"/>
        <w:right w:val="none" w:sz="0" w:space="0" w:color="auto"/>
      </w:divBdr>
    </w:div>
    <w:div w:id="773943751">
      <w:bodyDiv w:val="1"/>
      <w:marLeft w:val="0"/>
      <w:marRight w:val="0"/>
      <w:marTop w:val="0"/>
      <w:marBottom w:val="0"/>
      <w:divBdr>
        <w:top w:val="none" w:sz="0" w:space="0" w:color="auto"/>
        <w:left w:val="none" w:sz="0" w:space="0" w:color="auto"/>
        <w:bottom w:val="none" w:sz="0" w:space="0" w:color="auto"/>
        <w:right w:val="none" w:sz="0" w:space="0" w:color="auto"/>
      </w:divBdr>
    </w:div>
    <w:div w:id="1066222974">
      <w:bodyDiv w:val="1"/>
      <w:marLeft w:val="0"/>
      <w:marRight w:val="0"/>
      <w:marTop w:val="0"/>
      <w:marBottom w:val="0"/>
      <w:divBdr>
        <w:top w:val="none" w:sz="0" w:space="0" w:color="auto"/>
        <w:left w:val="none" w:sz="0" w:space="0" w:color="auto"/>
        <w:bottom w:val="none" w:sz="0" w:space="0" w:color="auto"/>
        <w:right w:val="none" w:sz="0" w:space="0" w:color="auto"/>
      </w:divBdr>
    </w:div>
    <w:div w:id="1087312937">
      <w:bodyDiv w:val="1"/>
      <w:marLeft w:val="0"/>
      <w:marRight w:val="0"/>
      <w:marTop w:val="0"/>
      <w:marBottom w:val="0"/>
      <w:divBdr>
        <w:top w:val="none" w:sz="0" w:space="0" w:color="auto"/>
        <w:left w:val="none" w:sz="0" w:space="0" w:color="auto"/>
        <w:bottom w:val="none" w:sz="0" w:space="0" w:color="auto"/>
        <w:right w:val="none" w:sz="0" w:space="0" w:color="auto"/>
      </w:divBdr>
    </w:div>
    <w:div w:id="1353846229">
      <w:bodyDiv w:val="1"/>
      <w:marLeft w:val="0"/>
      <w:marRight w:val="0"/>
      <w:marTop w:val="0"/>
      <w:marBottom w:val="0"/>
      <w:divBdr>
        <w:top w:val="none" w:sz="0" w:space="0" w:color="auto"/>
        <w:left w:val="none" w:sz="0" w:space="0" w:color="auto"/>
        <w:bottom w:val="none" w:sz="0" w:space="0" w:color="auto"/>
        <w:right w:val="none" w:sz="0" w:space="0" w:color="auto"/>
      </w:divBdr>
    </w:div>
    <w:div w:id="1826969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en.wikipedia.org/wiki/Humid_continental_climat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United_States_Census_Burea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6">
  <b:Source>
    <b:Tag>Jay081</b:Tag>
    <b:SourceType>JournalArticle</b:SourceType>
    <b:Guid>{0789617F-EEE6-43FB-9225-68303A29F361}</b:Guid>
    <b:Title>Approaches to Planning Water Resources</b:Title>
    <b:Year>2008</b:Year>
    <b:Author>
      <b:Author>
        <b:NameList>
          <b:Person>
            <b:Last>Lund</b:Last>
            <b:First>Jay</b:First>
            <b:Middle>R</b:Middle>
          </b:Person>
        </b:NameList>
      </b:Author>
    </b:Author>
    <b:RefOrder>1</b:RefOrder>
  </b:Source>
  <b:Source>
    <b:Tag>Wik16</b:Tag>
    <b:SourceType>InternetSite</b:SourceType>
    <b:Guid>{A7A7E85E-ABB6-4914-B915-AF5491A2AD5D}</b:Guid>
    <b:Title>Wikipedia</b:Title>
    <b:InternetSiteTitle>Logan, Utah</b:InternetSiteTitle>
    <b:YearAccessed>2016</b:YearAccessed>
    <b:MonthAccessed>02</b:MonthAccessed>
    <b:DayAccessed>28</b:DayAccessed>
    <b:URL>https://en.wikipedia.org/wiki/Logan,_Utah</b:URL>
    <b:RefOrder>2</b:RefOrder>
  </b:Source>
  <b:Source>
    <b:Tag>Log151</b:Tag>
    <b:SourceType>Report</b:SourceType>
    <b:Guid>{5B580B6D-F545-40A6-AF12-756A949A54DB}</b:Guid>
    <b:Title>Water Conservation Plan</b:Title>
    <b:Year>2015</b:Year>
    <b:Author>
      <b:Author>
        <b:NameList>
          <b:Person>
            <b:Last>Department</b:Last>
            <b:First>Logan</b:First>
            <b:Middle>Public Works</b:Middle>
          </b:Person>
        </b:NameList>
      </b:Author>
    </b:Author>
    <b:City>Logan, UT</b:City>
    <b:RefOrder>3</b:RefOrder>
  </b:Source>
</b:Sources>
</file>

<file path=customXml/itemProps1.xml><?xml version="1.0" encoding="utf-8"?>
<ds:datastoreItem xmlns:ds="http://schemas.openxmlformats.org/officeDocument/2006/customXml" ds:itemID="{1697DB7A-FA40-4C49-BFA3-996BB878D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Imran</dc:creator>
  <cp:keywords/>
  <dc:description/>
  <cp:lastModifiedBy>Muhammad Imran</cp:lastModifiedBy>
  <cp:revision>48</cp:revision>
  <dcterms:created xsi:type="dcterms:W3CDTF">2016-03-01T16:43:00Z</dcterms:created>
  <dcterms:modified xsi:type="dcterms:W3CDTF">2016-03-03T16:28:00Z</dcterms:modified>
</cp:coreProperties>
</file>