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specification: Acme R7 warehouse robot</w:t>
      </w:r>
    </w:p>
    <w:p>
      <w:pPr>
        <w:pStyle w:val="Heading1"/>
      </w:pPr>
      <w:r>
        <w:t>Overview</w:t>
      </w:r>
    </w:p>
    <w:p>
      <w:r>
        <w:t>The R7 is an autonomous mobile robot for warehouse picking. It navigates with LiDAR and stereo cameras and integrates with common warehouse management systems through a REST API.</w:t>
      </w:r>
    </w:p>
    <w:p>
      <w:pPr>
        <w:pStyle w:val="Heading1"/>
      </w:pPr>
      <w:r>
        <w:t>Battery and charging</w:t>
      </w:r>
    </w:p>
    <w:p>
      <w:r>
        <w:t>The R7 uses a 48 V lithium iron phosphate battery with a capacity of 2.4 kWh. A full charge takes 90 minutes on the docking station; opportunity charging to 80% takes 45 minutes. Typical runtime is 10 hours in mixed operation.</w:t>
      </w:r>
    </w:p>
    <w:p>
      <w:pPr>
        <w:pStyle w:val="Heading1"/>
      </w:pPr>
      <w:r>
        <w:t>Safety</w:t>
      </w:r>
    </w:p>
    <w:p>
      <w:r>
        <w:t>The robot is certified to ISO 3691-4. It stops within 0.3 m at full speed when an obstacle is detected. Emergency stop buttons are located on all four sides. The maximum speed in shared zones with people is limited to 1.0 m/s.</w:t>
      </w:r>
    </w:p>
    <w:p>
      <w:pPr>
        <w:pStyle w:val="Heading1"/>
      </w:pPr>
      <w:r>
        <w:t>Maintenance</w:t>
      </w:r>
    </w:p>
    <w:p>
      <w:r>
        <w:t>Wheels and brushes should be inspected every 500 operating hours. The LiDAR window must be cleaned weekly. Firmware updates are delivered over the air every quarter.</w:t>
      </w:r>
    </w:p>
    <w:p>
      <w:pPr>
        <w:pStyle w:val="Heading1"/>
      </w:pPr>
      <w:r>
        <w:t>Warranty</w:t>
      </w:r>
    </w:p>
    <w:p>
      <w:r>
        <w:t>The R7 comes with a 24-month warranty covering parts and labour. The battery is covered for 3,000 charge cycles or 36 months, whichever comes first. Damage from misuse is excluded.</w:t>
      </w:r>
    </w:p>
    <w:p>
      <w:pPr>
        <w:pStyle w:val="Heading1"/>
      </w:pPr>
      <w:r>
        <w:t>Technical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600 kg</w:t>
            </w:r>
          </w:p>
        </w:tc>
      </w:tr>
      <w:tr>
        <w:tc>
          <w:tcPr>
            <w:tcW w:type="dxa" w:w="4320"/>
          </w:tcPr>
          <w:p>
            <w:r>
              <w:t>Maximum speed</w:t>
            </w:r>
          </w:p>
        </w:tc>
        <w:tc>
          <w:tcPr>
            <w:tcW w:type="dxa" w:w="4320"/>
          </w:tcPr>
          <w:p>
            <w:r>
              <w:t>2.0 m/s</w:t>
            </w:r>
          </w:p>
        </w:tc>
      </w:tr>
      <w:tr>
        <w:tc>
          <w:tcPr>
            <w:tcW w:type="dxa" w:w="4320"/>
          </w:tcPr>
          <w:p>
            <w:r>
              <w:t>Dimensions (L x W x H)</w:t>
            </w:r>
          </w:p>
        </w:tc>
        <w:tc>
          <w:tcPr>
            <w:tcW w:type="dxa" w:w="4320"/>
          </w:tcPr>
          <w:p>
            <w:r>
              <w:t>1100 x 750 x 320 mm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185 kg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LiDAR + stereo cameras, no floor markers needed</w:t>
            </w:r>
          </w:p>
        </w:tc>
      </w:tr>
      <w:tr>
        <w:tc>
          <w:tcPr>
            <w:tcW w:type="dxa" w:w="4320"/>
          </w:tcPr>
          <w:p>
            <w:r>
              <w:t>IP rating</w:t>
            </w:r>
          </w:p>
        </w:tc>
        <w:tc>
          <w:tcPr>
            <w:tcW w:type="dxa" w:w="4320"/>
          </w:tcPr>
          <w:p>
            <w:r>
              <w:t>IP54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0 to 40 °C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