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D2A5" w14:textId="77777777" w:rsidR="00AA2C1A" w:rsidRDefault="00AA2C1A" w:rsidP="00AA2C1A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spacing w:line="48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bCs/>
          <w:color w:val="000000"/>
          <w:sz w:val="21"/>
          <w:szCs w:val="21"/>
        </w:rPr>
        <w:t>Supplement</w:t>
      </w:r>
    </w:p>
    <w:p w14:paraId="0DC9B0D4" w14:textId="77777777" w:rsidR="00AA2C1A" w:rsidRDefault="00AA2C1A" w:rsidP="00AA2C1A">
      <w:p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spacing w:line="480" w:lineRule="auto"/>
        <w:rPr>
          <w:rFonts w:ascii="Arial" w:eastAsia="Arial" w:hAnsi="Arial" w:cs="Arial"/>
          <w:color w:val="000000"/>
          <w:sz w:val="21"/>
          <w:szCs w:val="21"/>
        </w:rPr>
      </w:pPr>
      <w:r w:rsidRPr="00884DDA">
        <w:rPr>
          <w:rFonts w:ascii="Arial" w:eastAsia="Arial" w:hAnsi="Arial" w:cs="Arial"/>
          <w:color w:val="000000"/>
          <w:sz w:val="21"/>
          <w:szCs w:val="21"/>
        </w:rPr>
        <w:drawing>
          <wp:inline distT="0" distB="0" distL="0" distR="0" wp14:anchorId="1D402882" wp14:editId="415ED6D9">
            <wp:extent cx="5943600" cy="4617085"/>
            <wp:effectExtent l="0" t="0" r="0" b="5715"/>
            <wp:docPr id="59549868" name="Picture 1" descr="A group of graphs with red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9868" name="Picture 1" descr="A group of graphs with red and black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60ED" w14:textId="77777777" w:rsidR="00AA2C1A" w:rsidRPr="007E4F74" w:rsidRDefault="00AA2C1A" w:rsidP="00AA2C1A">
      <w:pPr>
        <w:spacing w:line="48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Figure S1. Behavioral responses to injury. </w:t>
      </w:r>
      <w:r>
        <w:rPr>
          <w:rFonts w:ascii="Arial" w:eastAsia="Arial" w:hAnsi="Arial" w:cs="Arial"/>
          <w:bCs/>
          <w:sz w:val="21"/>
          <w:szCs w:val="21"/>
        </w:rPr>
        <w:t xml:space="preserve">Figure panels show effects of injury (versus all other bats) on </w:t>
      </w:r>
      <w:proofErr w:type="spellStart"/>
      <w:r>
        <w:rPr>
          <w:rFonts w:ascii="Arial" w:eastAsia="Arial" w:hAnsi="Arial" w:cs="Arial"/>
          <w:bCs/>
          <w:sz w:val="21"/>
          <w:szCs w:val="21"/>
        </w:rPr>
        <w:t>allogrooming</w:t>
      </w:r>
      <w:proofErr w:type="spellEnd"/>
      <w:r>
        <w:rPr>
          <w:rFonts w:ascii="Arial" w:eastAsia="Arial" w:hAnsi="Arial" w:cs="Arial"/>
          <w:bCs/>
          <w:sz w:val="21"/>
          <w:szCs w:val="21"/>
        </w:rPr>
        <w:t xml:space="preserve"> (A), self-grooming (B), and moving (C).</w:t>
      </w:r>
      <w:r>
        <w:rPr>
          <w:rFonts w:ascii="Arial" w:eastAsia="Arial" w:hAnsi="Arial" w:cs="Arial"/>
          <w:sz w:val="21"/>
          <w:szCs w:val="21"/>
        </w:rPr>
        <w:t xml:space="preserve"> Left-hand panels: </w:t>
      </w:r>
      <w:r>
        <w:rPr>
          <w:rFonts w:ascii="Arial" w:eastAsia="Arial" w:hAnsi="Arial" w:cs="Arial"/>
          <w:bCs/>
          <w:sz w:val="21"/>
          <w:szCs w:val="21"/>
        </w:rPr>
        <w:t xml:space="preserve">points and intervals are median posterior probability estimates with 90% highest posterior density intervals (HPDI). </w:t>
      </w:r>
      <w:r w:rsidRPr="008262B9">
        <w:rPr>
          <w:rFonts w:ascii="Arial" w:eastAsia="Arial" w:hAnsi="Arial" w:cs="Arial"/>
          <w:sz w:val="21"/>
          <w:szCs w:val="21"/>
        </w:rPr>
        <w:t>Dashed lines show previous effect sizes estimated from two LPS-induced immune challenge experiments (</w:t>
      </w:r>
      <w:r>
        <w:rPr>
          <w:rFonts w:ascii="Arial" w:eastAsia="Arial" w:hAnsi="Arial" w:cs="Arial"/>
          <w:sz w:val="21"/>
          <w:szCs w:val="21"/>
        </w:rPr>
        <w:t xml:space="preserve">purple, 13; orange, </w:t>
      </w:r>
      <w:r w:rsidRPr="008262B9">
        <w:rPr>
          <w:rFonts w:ascii="Arial" w:eastAsia="Arial" w:hAnsi="Arial" w:cs="Arial"/>
          <w:sz w:val="21"/>
          <w:szCs w:val="21"/>
        </w:rPr>
        <w:t>2</w:t>
      </w:r>
      <w:r>
        <w:rPr>
          <w:rFonts w:ascii="Arial" w:eastAsia="Arial" w:hAnsi="Arial" w:cs="Arial"/>
          <w:sz w:val="21"/>
          <w:szCs w:val="21"/>
        </w:rPr>
        <w:t>2</w:t>
      </w:r>
      <w:r w:rsidRPr="008262B9">
        <w:rPr>
          <w:rFonts w:ascii="Arial" w:eastAsia="Arial" w:hAnsi="Arial" w:cs="Arial"/>
          <w:sz w:val="21"/>
          <w:szCs w:val="21"/>
        </w:rPr>
        <w:t xml:space="preserve">). </w:t>
      </w:r>
      <w:r w:rsidRPr="008262B9">
        <w:rPr>
          <w:rFonts w:ascii="Arial" w:eastAsia="Arial" w:hAnsi="Arial" w:cs="Arial"/>
          <w:bCs/>
          <w:sz w:val="21"/>
          <w:szCs w:val="21"/>
        </w:rPr>
        <w:t>Right</w:t>
      </w:r>
      <w:r>
        <w:rPr>
          <w:rFonts w:ascii="Arial" w:eastAsia="Arial" w:hAnsi="Arial" w:cs="Arial"/>
          <w:bCs/>
          <w:sz w:val="21"/>
          <w:szCs w:val="21"/>
        </w:rPr>
        <w:t xml:space="preserve">-hand panels: jittered data show proportions of time for each behavior for infected bats (red triangles) and asymptomatic bats (black squares), </w:t>
      </w:r>
      <w:r>
        <w:rPr>
          <w:rFonts w:ascii="Arial" w:eastAsia="Arial" w:hAnsi="Arial" w:cs="Arial"/>
          <w:sz w:val="21"/>
          <w:szCs w:val="21"/>
        </w:rPr>
        <w:t>during the outbreak (pre-treatment) and after bats recovered (post-treatment)</w:t>
      </w:r>
      <w:r>
        <w:rPr>
          <w:rFonts w:ascii="Arial" w:eastAsia="Arial" w:hAnsi="Arial" w:cs="Arial"/>
          <w:bCs/>
          <w:sz w:val="21"/>
          <w:szCs w:val="21"/>
        </w:rPr>
        <w:t xml:space="preserve">. </w:t>
      </w:r>
      <w:r>
        <w:rPr>
          <w:rFonts w:ascii="Arial" w:eastAsia="Arial" w:hAnsi="Arial" w:cs="Arial"/>
          <w:sz w:val="21"/>
          <w:szCs w:val="21"/>
        </w:rPr>
        <w:t xml:space="preserve">Points with error bars are predicted median posterior proportions ± 90% HPDIs. </w:t>
      </w:r>
    </w:p>
    <w:p w14:paraId="2342369A" w14:textId="77777777" w:rsidR="00730D0B" w:rsidRDefault="00730D0B"/>
    <w:sectPr w:rsidR="00730D0B" w:rsidSect="00E6709A"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1A"/>
    <w:rsid w:val="00592B37"/>
    <w:rsid w:val="00730D0B"/>
    <w:rsid w:val="00AA2C1A"/>
    <w:rsid w:val="00B36110"/>
    <w:rsid w:val="00BF2EFD"/>
    <w:rsid w:val="00E6709A"/>
    <w:rsid w:val="00F9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F16C9"/>
  <w15:chartTrackingRefBased/>
  <w15:docId w15:val="{51A3FC23-DDB9-A74F-9A49-68EE0398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C1A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C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C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C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C1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C1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C1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C1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C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2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C1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2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C1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2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C1A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2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C1A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A2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Razik, Imran</dc:creator>
  <cp:keywords/>
  <dc:description/>
  <cp:lastModifiedBy>Razik, Imran</cp:lastModifiedBy>
  <cp:revision>1</cp:revision>
  <dcterms:created xsi:type="dcterms:W3CDTF">2024-04-02T10:50:00Z</dcterms:created>
  <dcterms:modified xsi:type="dcterms:W3CDTF">2024-04-02T10:51:00Z</dcterms:modified>
</cp:coreProperties>
</file>