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in" ContentType="application/vnd.openxmlformats-officedocument.oleObject"/>
  <Default Extension="xlsx" ContentType="application/vnd.openxmlformats-officedocument.spreadsheetml.sheet"/>
  <Default Extension="pptx" ContentType="application/vnd.openxmlformats-officedocument.presentationml.presentation"/>
  <Default Extension="docx" ContentType="application/vnd.openxmlformats-officedocument.wordprocessingml.document"/>
  <Default Extension="png" ContentType="image/pn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10="urn:schemas-microsoft-com:office:word" xmlns:v="urn:schemas-microsoft-com:vml" xmlns:o="urn:schemas-microsoft-com:office:office">
  <w:body>
    <w:p>
      <w:pPr>
        <w:spacing w:before="2400" w:after="200" w:line="360" w:lineRule="auto"/>
      </w:pPr>
      <w:r>
        <w:rPr>
          <w:rFonts w:ascii="Times New Roman" w:hAnsi="Times New Roman" w:eastAsia="微软雅黑"/>
          <w:b/>
          <w:color w:val="0B2545"/>
          <w:sz w:val="46"/>
          <w:szCs w:val="46"/>
        </w:rPr>
        <w:t xml:space="preserve">大模型推理硬件性能测试报告</w:t>
      </w:r>
    </w:p>
    <w:p>
      <w:pPr>
        <w:spacing w:before="0" w:after="600" w:line="360" w:lineRule="auto"/>
      </w:pPr>
      <w:r>
        <w:rPr>
          <w:rFonts w:ascii="Times New Roman" w:hAnsi="Times New Roman" w:eastAsia="微软雅黑"/>
          <w:color w:val="555555"/>
          <w:sz w:val="26"/>
          <w:szCs w:val="26"/>
        </w:rPr>
        <w:t xml:space="preserve">模型 × 硬件平台 GPU / NPU 推理性能与质量摸底测试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/>
          <w:color w:val="1A1A1A"/>
          <w:sz w:val="22"/>
          <w:szCs w:val="22"/>
        </w:rPr>
        <w:t xml:space="preserve">编制部门: </w:t>
      </w:r>
      <w:r>
        <w:rPr>
          <w:rFonts w:ascii="Times New Roman" w:hAnsi="Times New Roman" w:eastAsia="微软雅黑"/>
          <w:color w:val="666666"/>
          <w:sz w:val="22"/>
          <w:szCs w:val="22"/>
        </w:rPr>
        <w:t xml:space="preserve">待填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/>
          <w:color w:val="1A1A1A"/>
          <w:sz w:val="22"/>
          <w:szCs w:val="22"/>
        </w:rPr>
        <w:t xml:space="preserve">测试单位: </w:t>
      </w:r>
      <w:r>
        <w:rPr>
          <w:rFonts w:ascii="Times New Roman" w:hAnsi="Times New Roman" w:eastAsia="微软雅黑"/>
          <w:color w:val="666666"/>
          <w:sz w:val="22"/>
          <w:szCs w:val="22"/>
        </w:rPr>
        <w:t xml:space="preserve">待填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/>
          <w:color w:val="1A1A1A"/>
          <w:sz w:val="22"/>
          <w:szCs w:val="22"/>
        </w:rPr>
        <w:t xml:space="preserve">硬件平台: </w:t>
      </w:r>
      <w:r>
        <w:rPr>
          <w:rFonts w:ascii="Times New Roman" w:hAnsi="Times New Roman" w:eastAsia="微软雅黑"/>
          <w:color w:val="666666"/>
          <w:sz w:val="22"/>
          <w:szCs w:val="22"/>
        </w:rPr>
        <w:t xml:space="preserve">待填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/>
          <w:color w:val="1A1A1A"/>
          <w:sz w:val="22"/>
          <w:szCs w:val="22"/>
        </w:rPr>
        <w:t xml:space="preserve">测试日期: </w:t>
      </w:r>
      <w:r>
        <w:rPr>
          <w:rFonts w:ascii="Times New Roman" w:hAnsi="Times New Roman" w:eastAsia="微软雅黑"/>
          <w:color w:val="666666"/>
          <w:sz w:val="22"/>
          <w:szCs w:val="22"/>
        </w:rPr>
        <w:t xml:space="preserve">2026-09-17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/>
          <w:color w:val="1A1A1A"/>
          <w:sz w:val="22"/>
          <w:szCs w:val="22"/>
        </w:rPr>
        <w:t xml:space="preserve">文档版本: </w:t>
      </w:r>
      <w:r>
        <w:rPr>
          <w:rFonts w:ascii="Times New Roman" w:hAnsi="Times New Roman" w:eastAsia="微软雅黑"/>
          <w:color w:val="666666"/>
          <w:sz w:val="22"/>
          <w:szCs w:val="22"/>
        </w:rPr>
        <w:t xml:space="preserve">V1.0</w:t>
      </w:r>
    </w:p>
    <w:p>
      <w:pPr>
        <w:spacing w:before="0" w:after="160" w:line="360" w:lineRule="auto"/>
      </w:pPr>
      <w:r>
        <w:rPr>
          <w:rFonts w:ascii="Times New Roman" w:hAnsi="Times New Roman" w:eastAsia="微软雅黑"/>
          <w:b/>
          <w:color w:val="1A1A1A"/>
          <w:sz w:val="22"/>
          <w:szCs w:val="22"/>
        </w:rPr>
        <w:t xml:space="preserve">文档状态: </w:t>
      </w:r>
      <w:r>
        <w:rPr>
          <w:rFonts w:ascii="Times New Roman" w:hAnsi="Times New Roman" w:eastAsia="微软雅黑"/>
          <w:color w:val="666666"/>
          <w:sz w:val="22"/>
          <w:szCs w:val="22"/>
        </w:rPr>
        <w:t xml:space="preserve">草稿</w:t>
      </w:r>
    </w:p>
    <w:p>
      <w:r>
        <w:br w:type="page"/>
      </w:r>
    </w:p>
    <w:p>
      <w:pPr>
        <w:spacing w:before="400" w:after="200" w:line="360" w:lineRule="auto"/>
      </w:pPr>
      <w:r>
        <w:rPr>
          <w:rFonts w:ascii="Times New Roman" w:hAnsi="Times New Roman" w:eastAsia="微软雅黑"/>
          <w:b/>
          <w:color w:val="1F3A5F"/>
          <w:sz w:val="26"/>
          <w:szCs w:val="26"/>
        </w:rPr>
        <w:t xml:space="preserve">目  录</w:t>
      </w:r>
    </w:p>
    <w:p>
      <w:pPr>
        <w:spacing w:before="0" w:after="80" w:line="360" w:lineRule="auto"/>
      </w:pPr>
      <w:hyperlink w:anchor="_Toc1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一、测试结论</w:t>
        </w:r>
      </w:hyperlink>
    </w:p>
    <w:p>
      <w:pPr>
        <w:spacing w:before="0" w:after="80" w:line="360" w:lineRule="auto"/>
      </w:pPr>
      <w:hyperlink w:anchor="_Toc2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二、测试概述</w:t>
        </w:r>
      </w:hyperlink>
    </w:p>
    <w:p>
      <w:pPr>
        <w:spacing w:before="0" w:after="80" w:line="360" w:lineRule="auto"/>
      </w:pPr>
      <w:hyperlink w:anchor="_Toc3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三、硬件信息</w:t>
        </w:r>
      </w:hyperlink>
    </w:p>
    <w:p>
      <w:pPr>
        <w:spacing w:before="0" w:after="80" w:line="360" w:lineRule="auto"/>
      </w:pPr>
      <w:hyperlink w:anchor="_Toc4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四、运行时栈与版本信息</w:t>
        </w:r>
      </w:hyperlink>
    </w:p>
    <w:p>
      <w:pPr>
        <w:spacing w:before="0" w:after="80" w:line="360" w:lineRule="auto"/>
      </w:pPr>
      <w:hyperlink w:anchor="_Toc5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五、被测模型清单</w:t>
        </w:r>
      </w:hyperlink>
    </w:p>
    <w:p>
      <w:pPr>
        <w:spacing w:before="0" w:after="80" w:line="360" w:lineRule="auto"/>
      </w:pPr>
      <w:hyperlink w:anchor="_Toc6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六、模型调用参数</w:t>
        </w:r>
      </w:hyperlink>
    </w:p>
    <w:p>
      <w:pPr>
        <w:spacing w:before="0" w:after="80" w:line="360" w:lineRule="auto"/>
      </w:pPr>
      <w:hyperlink w:anchor="_Toc7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七、不同输入长度性能测试(阶梯)</w:t>
        </w:r>
      </w:hyperlink>
    </w:p>
    <w:p>
      <w:pPr>
        <w:spacing w:before="0" w:after="80" w:line="360" w:lineRule="auto"/>
      </w:pPr>
      <w:hyperlink w:anchor="_Toc8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八、并发性能测试</w:t>
        </w:r>
      </w:hyperlink>
    </w:p>
    <w:p>
      <w:pPr>
        <w:spacing w:before="0" w:after="80" w:line="360" w:lineRule="auto"/>
      </w:pPr>
      <w:hyperlink w:anchor="_Toc9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九、前缀缓存(开关缓存)测试</w:t>
        </w:r>
      </w:hyperlink>
    </w:p>
    <w:p>
      <w:pPr>
        <w:spacing w:before="0" w:after="80" w:line="360" w:lineRule="auto"/>
      </w:pPr>
      <w:hyperlink w:anchor="_Toc10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十、NIAH 长上下文检索测试</w:t>
        </w:r>
      </w:hyperlink>
    </w:p>
    <w:p>
      <w:pPr>
        <w:spacing w:before="0" w:after="80" w:line="360" w:lineRule="auto"/>
      </w:pPr>
      <w:hyperlink w:anchor="_Toc11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十一、长时稳定性测试</w:t>
        </w:r>
      </w:hyperlink>
    </w:p>
    <w:p>
      <w:pPr>
        <w:spacing w:before="0" w:after="80" w:line="360" w:lineRule="auto"/>
      </w:pPr>
      <w:hyperlink w:anchor="_Toc12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十二、质量抽检</w:t>
        </w:r>
      </w:hyperlink>
    </w:p>
    <w:p>
      <w:pPr>
        <w:spacing w:before="0" w:after="80" w:line="360" w:lineRule="auto"/>
      </w:pPr>
      <w:hyperlink w:anchor="_Toc13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附录 A 关键测试方法说明</w:t>
        </w:r>
      </w:hyperlink>
    </w:p>
    <w:p>
      <w:pPr>
        <w:spacing w:before="0" w:after="80" w:line="360" w:lineRule="auto"/>
      </w:pPr>
      <w:hyperlink w:anchor="_Toc14" w:history="1">
        <w:r>
          <w:rPr>
            <w:rFonts w:ascii="Times New Roman" w:hAnsi="Times New Roman" w:eastAsia="微软雅黑"/>
            <w:color w:val="333333"/>
            <w:sz w:val="21"/>
            <w:szCs w:val="21"/>
          </w:rPr>
          <w:t xml:space="preserve">附录 B 版本记录</w:t>
        </w:r>
      </w:hyperlink>
    </w:p>
    <w:p>
      <w:r>
        <w:br w:type="page"/>
      </w:r>
    </w:p>
    <w:p>
      <w:pPr>
        <w:spacing w:before="320" w:after="160" w:line="360" w:lineRule="auto"/>
      </w:pPr>
      <w:bookmarkStart w:id="201" w:name="_Toc1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一、测试结论</w:t>
      </w:r>
      <w:bookmarkEnd w:id="201"/>
    </w:p>
    <w:p>
      <w:pPr>
        <w:spacing w:before="0" w:after="120" w:line="360" w:lineRule="auto"/>
      </w:pPr>
      <w:r>
        <w:rPr>
          <w:rFonts w:ascii="Times New Roman" w:hAnsi="Times New Roman" w:eastAsia="宋体"/>
          <w:color w:val="999999"/>
          <w:sz w:val="21"/>
          <w:szCs w:val="21"/>
        </w:rPr>
        <w:t xml:space="preserve">(本章节由测试人员根据以下实测数据综合撰写)</w:t>
      </w:r>
    </w:p>
    <w:p>
      <w:pPr>
        <w:spacing w:before="0" w:after="360" w:line="360" w:lineRule="auto"/>
      </w:pPr>
    </w:p>
    <w:p>
      <w:pPr>
        <w:spacing w:before="0" w:after="360" w:line="360" w:lineRule="auto"/>
      </w:pPr>
    </w:p>
    <w:p>
      <w:pPr>
        <w:spacing w:before="0" w:after="360" w:line="360" w:lineRule="auto"/>
      </w:pPr>
    </w:p>
    <w:p>
      <w:pPr>
        <w:spacing w:before="0" w:after="360" w:line="360" w:lineRule="auto"/>
      </w:pPr>
    </w:p>
    <w:p>
      <w:pPr>
        <w:spacing w:before="0" w:after="360" w:line="360" w:lineRule="auto"/>
      </w:pPr>
    </w:p>
    <w:p>
      <w:pPr>
        <w:spacing w:before="0" w:after="360" w:line="360" w:lineRule="auto"/>
      </w:pP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附件:交互式结果页(双击图标用浏览器打开)(results.html,双击图标打开)</w:t>
      </w:r>
    </w:p>
    <w:p>
      <w:pPr>
        <w:spacing w:after="120"/>
      </w:pPr>
      <w:r>
        <w:object>
          <v:shape id="_x0000_i1026" o:spt="75" type="#_x0000_t75" style="height:73pt;width:64pt;" o:ole="t" filled="f" o:preferrelative="t" stroked="f" coordsize="21600,21600">
            <v:fill on="f" focussize="0,0"/>
            <v:stroke on="f"/>
            <v:imagedata r:id="rId1" o:title=""/>
            <o:lock v:ext="edit" aspectratio="t"/>
            <w10:wrap type="none"/>
            <w10:anchorlock/>
          </v:shape>
          <o:OLEObject Type="Embed" ProgID="Package" ShapeID="_x0000_i1026" DrawAspect="Icon" ObjectID="_1468075701" r:id="rId2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results.html</w:t>
      </w:r>
    </w:p>
    <w:p>
      <w:pPr>
        <w:spacing w:before="320" w:after="160" w:line="360" w:lineRule="auto"/>
      </w:pPr>
      <w:bookmarkStart w:id="202" w:name="_Toc2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二、测试概述</w:t>
      </w:r>
      <w:bookmarkEnd w:id="202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报告针对主流大模型在实际硬件平台上的推理表现进行系统测试。测试基于本硬件平台(被测模型版本),通过统一的模型、统一的测试语料集群和统一的调用参数,检验硬件在不同上下文长度、不同并发压力和不同缓存状态下的推理表现,为模型选型、容量规划和采购决策提供实测数据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测试对象为不同输入并发下的推理响应能力,覆盖 1K / 10K / 20K / 30K 等档位输入长度,并对比前缀缓存(开关缓存)开启前后的差异。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测试目的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评估硬件平台的大模型推理性能(延迟 / 吞吐 / 长上下文)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设备形态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编制部门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测试人员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IMR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测试地点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环境说明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待填(机房温度 / 湿度 / 网络环境)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被测设备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待填(设备型号 / 加速芯片型号及数量)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 测试环境信息</w:t>
      </w:r>
    </w:p>
    <w:p>
      <w:pPr>
        <w:spacing w:before="240" w:after="120" w:line="360" w:lineRule="auto"/>
      </w:pPr>
      <w:r>
        <w:rPr>
          <w:rFonts w:ascii="Times New Roman" w:hAnsi="Times New Roman" w:eastAsia="微软雅黑"/>
          <w:b/>
          <w:color w:val="2E74B5"/>
          <w:sz w:val="26"/>
          <w:szCs w:val="26"/>
        </w:rPr>
        <w:t xml:space="preserve">2.1 测试结果摘要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指标</w:t>
            </w:r>
          </w:p>
        </w:tc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数值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稳定运行最高输入档位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256K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1K 档生成速度(tokens/s)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61.34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最高档(256K)首 token 延迟 TTFT(ms)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183219.0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峰值总吞吐(tokens/s)@并发数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103.18 @ 4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总调用次数(成功/失败)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3321(成功 3321 / 失败 0)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长时压测性能衰减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3.10%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NIAH 有效上下文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与宣称一致:全部长度点位均命中(宣称 262.14K)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质量抽检结论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一句话结论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 测试结果摘要</w:t>
      </w:r>
    </w:p>
    <w:p>
      <w:pPr>
        <w:spacing w:before="320" w:after="160" w:line="360" w:lineRule="auto"/>
      </w:pPr>
      <w:bookmarkStart w:id="203" w:name="_Toc3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三、硬件信息</w:t>
      </w:r>
      <w:bookmarkEnd w:id="203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被测设备的基础配置如下表所示。</w:t>
      </w:r>
    </w:p>
    <w:p>
      <w:pPr>
        <w:spacing w:before="240" w:after="120" w:line="360" w:lineRule="auto"/>
      </w:pPr>
      <w:r>
        <w:rPr>
          <w:rFonts w:ascii="Times New Roman" w:hAnsi="Times New Roman" w:eastAsia="微软雅黑"/>
          <w:b/>
          <w:color w:val="2E74B5"/>
          <w:sz w:val="26"/>
          <w:szCs w:val="26"/>
        </w:rPr>
        <w:t xml:space="preserve">3.1 算力设备信息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项目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型号 / 规格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设备名称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4090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设备形态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涡轮风扇卡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 盒子 / PCIe 加速卡 / M.2 算力卡等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 加速芯片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英伟达4090D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型号,算力(TOPS@INT8 / TFLOPS@FP16)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标称算力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 TOPS@INT8 / 0 TFLOPS@FP16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显存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24GB gddr 0GB/s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显存类型(HBM / GDDR6 / LPDDR5)、带宽(GB/s)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主控 CPU / SoC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 盒子填 SoC 型号;插卡设备填主机 CPU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散热方式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主动式散热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被动散热 / 主动风冷 / 液冷方案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标称 TDP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450 W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电源额定功率 / 整机 TDP(W)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固件版本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VBIOS 95.02.74.00.17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 盒子 / 加速卡固件版本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 算力设备信息</w:t>
      </w:r>
    </w:p>
    <w:p>
      <w:pPr>
        <w:spacing w:before="240" w:after="120" w:line="360" w:lineRule="auto"/>
      </w:pPr>
      <w:r>
        <w:rPr>
          <w:rFonts w:ascii="Times New Roman" w:hAnsi="Times New Roman" w:eastAsia="微软雅黑"/>
          <w:b/>
          <w:color w:val="2E74B5"/>
          <w:sz w:val="26"/>
          <w:szCs w:val="26"/>
        </w:rPr>
        <w:t xml:space="preserve">3.2 测试整机信息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项目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型号 / 规格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整机形态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服务器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台式机 / 工作站 / 服务器 / miniPC / 笔记本 / 其他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整机型号 / 平台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白牌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整机 CPU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X Intel Xeon Silver 4314，2.40GHz，16 核 32 线程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/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整机内存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2x32G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容量与类型(DDR5 / LPDDR5 等)、频率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整机硬盘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2T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系统盘 / 数据盘容量与读写速度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操作系统及版本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Ubuntu 24.04.4 LTS（内核 6.8.0-138-generic）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发行版及内核版本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4 测试整机信息</w:t>
      </w:r>
    </w:p>
    <w:p>
      <w:pPr>
        <w:spacing w:before="320" w:after="160" w:line="360" w:lineRule="auto"/>
      </w:pPr>
      <w:bookmarkStart w:id="204" w:name="_Toc4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四、运行时栈与版本信息</w:t>
      </w:r>
      <w:bookmarkEnd w:id="204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推理性能对硬件驱动和推理平台高度敏感,实测时按下表如实记录版本信息。推理版本差异会影响数据,做横向对比时请保持运行时栈一致。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组件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版本 / 取值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操作系统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Ubuntu 24.04.4 LTS（内核 6.8.0-138-generic）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发行版及内核版本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GPU / NPU 驱动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NVIDIA 驱动 595.91.07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驱动版本号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推理框架及版本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vLLM 0.27.1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如 vLLM / SGLang / Ollama / llama.cpp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加速 SDK / 算子库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如 CANN / RKNN / TensorRT / 厂商私有 SDK 版本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固件版本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VBIOS 95.02.74.00.17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 盒子 / 加速卡固件版本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压测工具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灵思微致测试平台 v3.0.5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阶梯 / 并发 / 缓存 / 稳定性 / NIAH / 质量 六项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5 运行时栈信息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模型启动命令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360"/>
      </w:tblGrid>
      <w:tr>
        <w:tc>
          <w:tcPr>
            <w:tcW w:w="9360" w:type="dxa"/>
            <w:shd w:val="clear" w:color="auto" w:fill="F7F8FA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color w:val="444444"/>
                <w:sz w:val="18"/>
                <w:szCs w:val="18"/>
              </w:rPr>
              <w:t xml:space="preserve">nohup python3 -m vllm.entrypoints.openai.api_server \
  --model /home/lswz/mx/Qwen3.8-27B-FP8 \
  --served-model-name Qwen3.8-27B-FP8 \
  --gpu-memory-utilization 0.95 \
  --max-num-seqs 2 \
  --kv-cache-dtype fp8 \
  --max-model-len 262144 \
  --tensor-parallel-size 2 \
  --host 0.0.0.0 \
  --port 8000 \
  --api-key [已脱敏] \
  --enable-auto-tool-choice \
  --tool-call-parser qwen3_coder \
  --reasoning-parser qwen3 \
  --enable-prefix-caching \
  --trust-remote-code \
  --enable-prompt-tokens-details \
  --speculative-config '{"method":"mtp","num_speculative_tokens":3}' \
  --enable-force-include-usage \
  &gt; vllm_qwen3_27b.log 2&gt;&amp;1 &amp;</w:t>
            </w:r>
          </w:p>
        </w:tc>
      </w:tr>
    </w:tbl>
    <w:p>
      <w:pPr>
        <w:spacing w:before="0" w:after="120" w:line="360" w:lineRule="auto"/>
      </w:pPr>
    </w:p>
    <w:p>
      <w:pPr>
        <w:spacing w:before="320" w:after="160" w:line="360" w:lineRule="auto"/>
      </w:pPr>
      <w:bookmarkStart w:id="205" w:name="_Toc5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五、被测模型清单</w:t>
      </w:r>
      <w:bookmarkEnd w:id="205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记录本次实测的全部模型,含确切版本号,及登记 Hugging Face 与魔搭社区(ModelScope)模型标号,验证测试可复现。量化版本同时注明权重量化格式(如 FP16 / INT8 / AWQ / GPTQ / GGUF 等)。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模型名称(含版本)</w:t>
            </w:r>
          </w:p>
        </w:tc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思考等级</w:t>
            </w:r>
          </w:p>
        </w:tc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量化精度</w:t>
            </w:r>
          </w:p>
        </w:tc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权重格式 / 格式</w:t>
            </w:r>
          </w:p>
        </w:tc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上下文长度</w:t>
            </w:r>
          </w:p>
        </w:tc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Hugging Face 模型 ID</w:t>
            </w:r>
          </w:p>
        </w:tc>
        <w:tc>
          <w:tcPr>
            <w:tcW w:w="1337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魔搭社区模型 ID</w:t>
            </w:r>
          </w:p>
        </w:tc>
      </w:tr>
      <w:tr>
        <w:tc>
          <w:tcPr>
            <w:tcW w:w="1337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Qwen3.8-27B-FP8</w:t>
            </w:r>
          </w:p>
        </w:tc>
        <w:tc>
          <w:tcPr>
            <w:tcW w:w="1337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极高(xhigh)</w:t>
            </w:r>
          </w:p>
        </w:tc>
        <w:tc>
          <w:tcPr>
            <w:tcW w:w="1337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FP8</w:t>
            </w:r>
          </w:p>
        </w:tc>
        <w:tc>
          <w:tcPr>
            <w:tcW w:w="1337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  <w:tc>
          <w:tcPr>
            <w:tcW w:w="1337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256K</w:t>
            </w:r>
          </w:p>
        </w:tc>
        <w:tc>
          <w:tcPr>
            <w:tcW w:w="1337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337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6 被测模型清单(按实际模型数增删行)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909399"/>
          <w:sz w:val="21"/>
          <w:szCs w:val="21"/>
        </w:rPr>
        <w:t xml:space="preserve">注:思考等级仅在质量验证(能力测试)中启用,性能测试项不携带该参数;横向对比不同模型的质量成绩时须固定该等级。</w:t>
      </w:r>
    </w:p>
    <w:p>
      <w:pPr>
        <w:spacing w:before="320" w:after="160" w:line="360" w:lineRule="auto"/>
      </w:pPr>
      <w:bookmarkStart w:id="206" w:name="_Toc6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六、模型调用参数</w:t>
      </w:r>
      <w:bookmarkEnd w:id="206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统一各被测模型的调用参数,排除采样参数对实测数据的干扰;每轮测试前执行预热请求,正式数据取有效样本统计。以下为任务的实际参数快照。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3120"/>
        <w:gridCol w:w="3120"/>
        <w:gridCol w:w="3120"/>
      </w:tblGrid>
      <w:tr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参数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取值</w:t>
            </w:r>
          </w:p>
        </w:tc>
        <w:tc>
          <w:tcPr>
            <w:tcW w:w="312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temperature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0.7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采样温度;对比测试须固定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top_p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0.9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核采样阈值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top_k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候选词截断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max_tokens(输出上限)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500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仅性能测试项统一固定,便于横向对比;质量抽查不限制输出长度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API 接口形式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OpenAI 兼容 /v1/chat/completions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流式(SSE)采集 TTFT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测试语料版本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corpus-v1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任务级快照:语料/题目后续编辑不影响本任务结果复现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预热次数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排除模型加载与冷启动影响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阶梯档位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10K / 15K / 20K / 25K / 32K / 30K / 50K / 60K / 40K / 35K / 64K / 70K / 90K / 80K / 256K / 100K / 140K / 120K / 200K / 180K / 160K / 220K / 128K / 1K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输入长度档位序列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阶梯每档重复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取有效样本统计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并发档位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/ 2 / 3 / 4 / 5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并发测试专用档位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并发输入档位 / 每档重复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1K / 10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支持多输入档,逐档分组统计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稳压时长 / 档位 / 并发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120 分钟 / 128K / 5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长时稳定性压测参数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缓存档位 / 每档重复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1K / 31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冷热对比档位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NIAH 每项探针数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宣称验证:长度点位 × 深度(最细 1%)复测;未填上下文:翻倍+二分探测</w:t>
            </w:r>
          </w:p>
        </w:tc>
      </w:tr>
      <w:tr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缓存开关状态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开</w:t>
            </w:r>
          </w:p>
        </w:tc>
        <w:tc>
          <w:tcPr>
            <w:tcW w:w="312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服务端前缀缓存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7 模型调用参数(任务实际参数快照)</w:t>
      </w:r>
    </w:p>
    <w:p>
      <w:pPr>
        <w:spacing w:before="320" w:after="160" w:line="360" w:lineRule="auto"/>
      </w:pPr>
      <w:bookmarkStart w:id="207" w:name="_Toc7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七、不同输入长度性能测试(阶梯)</w:t>
      </w:r>
      <w:bookmarkEnd w:id="207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本项为核心测试:在不同输入长度档位下,测量首 token 延迟(TTFT)与生成速度。据此绘制生成速度和首 token 延迟趋势。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360"/>
      </w:tblGrid>
      <w:tr>
        <w:tc>
          <w:tcPr>
            <w:tcW w:w="9360" w:type="dxa"/>
            <w:shd w:val="clear" w:color="auto" w:fill="F7F8FA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color w:val="444444"/>
                <w:sz w:val="18"/>
                <w:szCs w:val="18"/>
              </w:rPr>
              <w:t xml:space="preserve">测试方法:流式采集;前缀缓存保持关闭(即每轮构建全新前缀,确保冷基线);每档重复多次,统计平均 / P50 / P95 / P99 / 最短 / 最长;若设备与模型不支持高档位,按实际能支持的档位测试,并在表中注明。</w:t>
            </w:r>
          </w:p>
        </w:tc>
      </w:tr>
    </w:tbl>
    <w:p>
      <w:pPr>
        <w:spacing w:before="0" w:after="120" w:line="360" w:lineRule="auto"/>
      </w:pP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输入档位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实际长度(tokens)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1015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1901.6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8626.0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8626.0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8626.0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10008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4260.1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4262.5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4241.0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4269.0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14992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6413.1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6399.0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6391.0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6452.0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20008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8662.3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8663.0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8629.0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8703.0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24995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10914.6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10896.0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10889.0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10980.0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29980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13226.7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13199.0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13190.0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13280.0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31973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14199.1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14220.5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14231.0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14231.0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14136.0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14231.0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34978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15644.2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15628.0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15712.0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15712.0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15598.0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15712.0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39963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18071.3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18110.0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18124.0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18124.0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18004.0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18124.0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49990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23146.7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23146.0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23211.0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23211.0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23082.0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23211.0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60031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31259.9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30568.0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35369.0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35369.0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28410.0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35369.0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64074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31327.2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30739.5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37236.0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37236.0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30567.0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37236.0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70100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34074.5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34123.0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34135.0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34135.0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33944.0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34135.0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80137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41554.8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39862.0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46003.0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46003.0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39636.0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46003.0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90190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46132.4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45752.0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49656.0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49656.0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45621.0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49656.0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100194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54069.1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52104.5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57734.0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57734.0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51852.0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57734.0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120336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66551.8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65171.0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70523.0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70523.0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65014.0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70523.0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128K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128261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70813.9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70912.0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70929.0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70929.0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70596.0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70929.0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140421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82773.8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83508.0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87562.0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87562.0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79100.0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87562.0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160473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96831.0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96038.5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100803.0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100803.0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93888.0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100803.0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180519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112932.0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113930.0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116060.0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116060.0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109770.0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116060.0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200471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129434.5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130646.0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132379.0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132379.0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126324.0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132379.0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220521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146264.0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144717.0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151513.0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151513.0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144081.0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151513.0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256K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256714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181859.1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183219.0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185859.0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185859.0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178300.0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185859.0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8 阶梯测试首 token 延迟 TTFT(ms)分布(模型:Qwen3.8-27B-FP8)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输入档位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样本数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16.5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17.5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128K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14.5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220K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256K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9 阶梯测试生成速度(tokens/s)分布(模型:Qwen3.8-27B-FP8)</w:t>
      </w:r>
    </w:p>
    <w:p>
      <w:pPr>
        <w:spacing w:before="320" w:after="160" w:line="360" w:lineRule="auto"/>
      </w:pPr>
      <w:bookmarkStart w:id="208" w:name="_Toc8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八、并发性能测试</w:t>
      </w:r>
      <w:bookmarkEnd w:id="208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按多个输入长度档位分别做并发阶梯:固定输出,逐步提升并发请求数,观察单请求速度与整机的吞吐拐点,评估硬件在不同输入规模下的并发承载能力;单档连续失败触发熔断跳过,不影响其余档位继续测试。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1K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1K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481.6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1K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706.2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1K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2787.5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958.5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9349.0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9395.0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9395.0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1K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4960.0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10885.0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18237.0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18237.0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1K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7413.5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8110.0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17063.0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19950.0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19950.0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10 并发测试首 token 延迟 TTFT(ms)分布(模型:Qwen3.8-27B-FP8 / 输入:1K)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61.37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101.74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85.09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103.18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95.86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11 并发测试单请求生成速度(tokens/s)分布与总吞吐(模型:Qwen3.8-27B-FP8 / 输入:1K)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10K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10K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955.6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947.0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10K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1873.0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1877.0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1877.0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10K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4611.9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1872.5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11487.0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12436.0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12436.0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10K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6699.8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5924.5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13209.0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13770.0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13770.0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10K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9415.4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10783.0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21656.0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22025.0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22025.0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12 并发测试首 token 延迟 TTFT(ms)分布(模型:Qwen3.8-27B-FP8 / 输入:10K)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53.68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89.76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76.36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92.24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84.39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13 并发测试单请求生成速度(tokens/s)分布与总吞吐(模型:Qwen3.8-27B-FP8 / 输入:10K)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20K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1233.2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1226.0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1241.0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2141.4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2143.5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2368.0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1917.0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2368.0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5474.7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2358.0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13375.0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13397.0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13397.0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7636.1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6810.0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14390.0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14465.0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14465.0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10434.4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11728.5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23772.0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24067.0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1920.0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24067.0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14 并发测试首 token 延迟 TTFT(ms)分布(模型:Qwen3.8-27B-FP8 / 输入:20K)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52.01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88.63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71.08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44.1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87.48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81.72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15 并发测试单请求生成速度(tokens/s)分布与总吞吐(模型:Qwen3.8-27B-FP8 / 输入:20K)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32K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32K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1673.6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1672.0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1682.0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1682.0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1667.0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1682.0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32K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2814.6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3223.0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3229.0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2401.0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3229.0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32K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6417.8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3209.0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14049.0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14343.0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2410.0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14343.0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32K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8573.4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7895.0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15760.0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16200.0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2404.0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16200.0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32K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11819.7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13491.0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25463.0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26111.0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26111.0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16 并发测试首 token 延迟 TTFT(ms)分布(模型:Qwen3.8-27B-FP8 / 输入:32K)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49.47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79.26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66.58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80.57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76.00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17 并发测试单请求生成速度(tokens/s)分布与总吞吐(模型:Qwen3.8-27B-FP8 / 输入:32K)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40K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1754.0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1754.5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1764.0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1764.0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1744.0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1764.0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2930.5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2931.5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3357.0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3361.0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2506.0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3361.0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6054.8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3351.5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13993.0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14155.0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14155.0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8699.8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7015.5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16530.0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16756.0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2504.0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16756.0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11792.3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13495.5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25118.0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25905.0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2514.0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25905.0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18 并发测试首 token 延迟 TTFT(ms)分布(模型:Qwen3.8-27B-FP8 / 输入:40K)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48.69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80.89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72.44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79.84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75.62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19 并发测试单请求生成速度(tokens/s)分布与总吞吐(模型:Qwen3.8-27B-FP8 / 输入:40K)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64K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64K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1220.8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1221.0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1209.0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64K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2035.8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1741.5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8284.0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1227.0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8284.0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64K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5685.1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2226.0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18408.0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18922.0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18922.0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64K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7203.5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8647.5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14021.0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18620.0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1235.0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18620.0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64K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10027.8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10511.5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22662.0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25944.0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25944.0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20 并发测试首 token 延迟 TTFT(ms)分布(模型:Qwen3.8-27B-FP8 / 输入:64K)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51.05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91.89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77.67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94.23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87.06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21 并发测试单请求生成速度(tokens/s)分布与总吞吐(模型:Qwen3.8-27B-FP8 / 输入:64K)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80K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3866.2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1368.0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8314.0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8314.0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1353.0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8314.0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4020.3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2423.5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9646.0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10813.0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1375.0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10813.0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6368.9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2468.5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12434.0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15139.0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1370.0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15139.0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9681.1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10480.0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19521.0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1396.0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20030.0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80K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11529.5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11884.0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25957.0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29013.0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29013.0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22 并发测试首 token 延迟 TTFT(ms)分布(模型:Qwen3.8-27B-FP8 / 输入:80K)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56.58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86.14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77.15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92.82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86.00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23 并发测试单请求生成速度(tokens/s)分布与总吞吐(模型:Qwen3.8-27B-FP8 / 输入:80K)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100K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100K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5070.0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4020.5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9797.0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9797.0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2091.0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9797.0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100K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7933.6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9262.0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11602.0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11744.0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3066.0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11744.0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100K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10623.9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11064.0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18589.0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18857.0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18857.0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100K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11510.2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11898.5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21743.0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23908.0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3165.0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23908.0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100K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14676.5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14806.0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27572.0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30980.0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3117.0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30980.0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24 并发测试首 token 延迟 TTFT(ms)分布(模型:Qwen3.8-27B-FP8 / 输入:100K)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53.88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82.89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73.74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85.39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79.36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25 并发测试单请求生成速度(tokens/s)分布与总吞吐(模型:Qwen3.8-27B-FP8 / 输入:100K)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120K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120K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2697.4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1903.5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9852.0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9852.0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1893.0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9852.0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120K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3788.6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3321.0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10240.0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10309.0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1913.0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10309.0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120K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7148.1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3417.0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18412.0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19275.0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1955.0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19275.0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120K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9544.8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11534.5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16371.0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20119.0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1942.0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20119.0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120K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13077.1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12787.5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24684.0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29683.0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1992.0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29683.0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26 并发测试首 token 延迟 TTFT(ms)分布(模型:Qwen3.8-27B-FP8 / 输入:120K)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47.19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78.00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72.51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81.07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79.19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27 并发测试单请求生成速度(tokens/s)分布与总吞吐(模型:Qwen3.8-27B-FP8 / 输入:120K)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140K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140K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3687.3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2616.5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7073.0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7073.0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2600.0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7073.0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140K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5686.4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4785.5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12769.0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12918.0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3702.0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12918.0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140K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10380.0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9117.0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22242.0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23180.0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3749.0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23180.0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140K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11853.4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14173.0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19109.0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27111.0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3779.0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27111.0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140K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15740.6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15589.0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32570.0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35491.0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3811.0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35491.0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28 并发测试首 token 延迟 TTFT(ms)分布(模型:Qwen3.8-27B-FP8 / 输入:140K)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47.57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71.15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64.51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72.69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70.67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29 并发测试单请求生成速度(tokens/s)分布与总吞吐(模型:Qwen3.8-27B-FP8 / 输入:140K)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160K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160K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3912.7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2332.5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2326.0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8425.0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160K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6507.9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5891.5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10430.0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10936.0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3523.0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10936.0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160K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10164.3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9052.0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19873.0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19886.0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3527.0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19886.0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160K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11887.8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12030.0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20865.0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23238.0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3523.0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23238.0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160K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14710.0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14154.5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30588.0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31239.0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3554.0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31239.0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30 并发测试首 token 延迟 TTFT(ms)分布(模型:Qwen3.8-27B-FP8 / 输入:160K)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52.59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77.76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41.7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73.14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84.21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77.08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31 并发测试单请求生成速度(tokens/s)分布与总吞吐(模型:Qwen3.8-27B-FP8 / 输入:160K)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200K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200K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4927.5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4305.0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8994.0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8994.0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8994.0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200K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8143.1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9814.0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11642.0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13356.0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4042.0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13356.0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200K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10831.2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9371.0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21709.0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24662.0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4077.0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24662.0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200K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13949.4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14069.0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25042.0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25750.0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4158.0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25750.0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200K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17568.8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15169.0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30830.0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35093.0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4232.0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35093.0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32 并发测试首 token 延迟 TTFT(ms)分布(模型:Qwen3.8-27B-FP8 / 输入:200K)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51.60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76.63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73.4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64.59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43.6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76.93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72.33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33 并发测试单请求生成速度(tokens/s)分布与总吞吐(模型:Qwen3.8-27B-FP8 / 输入:200K)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输入档 256K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 @ 输入档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进度(轮)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成功/失败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失败率(%)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936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 @ 256K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8414.6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8915.0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11638.0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11638.0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3731.0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11638.0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 @ 256K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8329.6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6312.0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12957.0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13525.0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5184.0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13525.0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 @ 256K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13474.3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12244.5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23103.0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24037.0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5229.0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24037.0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 @ 256K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16977.0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15679.5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26924.0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28475.0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5283.0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28475.0</w:t>
            </w:r>
          </w:p>
        </w:tc>
      </w:tr>
      <w:tr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 @ 256K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10/10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50/0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19637.5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19330.0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37753.0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38777.0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5406.0</w:t>
            </w:r>
          </w:p>
        </w:tc>
        <w:tc>
          <w:tcPr>
            <w:tcW w:w="936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38777.0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34 并发测试首 token 延迟 TTFT(ms)分布(模型:Qwen3.8-27B-FP8 / 输入:256K)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并发数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总吞吐(tokens/s)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46.34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49.5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68.23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78.5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39.2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81.4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17.1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62.69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53.1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41.6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70.2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70.47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54.4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51.1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67.07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35 并发测试单请求生成速度(tokens/s)分布与总吞吐(模型:Qwen3.8-27B-FP8 / 输入:256K)</w:t>
      </w:r>
    </w:p>
    <w:p>
      <w:pPr>
        <w:spacing w:before="320" w:after="160" w:line="360" w:lineRule="auto"/>
      </w:pPr>
      <w:bookmarkStart w:id="209" w:name="_Toc9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九、前缀缓存(开关缓存)测试</w:t>
      </w:r>
      <w:bookmarkEnd w:id="209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前缀缓存(prefix caching)是推理服务的开销优化:当两次请求的开头部分完全一致时,服务端可直接复用已计算好的中间结果(KV cache),跳过重复计算,降低首 token 延迟。该功能在服务端启动时开启,用户侧无需任何动作;是否命中取决于请求数据的开头是否重复。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本测试方法为对话式叠加:第 1 轮发送文档全文(冷,写缓存);之后每轮把上轮回答并入上下文再发同一文档,前缀逐轮累积。各轮 cached_tokens/prompt_tokens 即为命中率;热轮 TTFT 对比冷轮即缓存实际收益。</w:t>
      </w:r>
    </w:p>
    <w:p>
      <w:pPr>
        <w:spacing w:before="240" w:after="120" w:line="360" w:lineRule="auto"/>
      </w:pPr>
      <w:r>
        <w:rPr>
          <w:rFonts w:ascii="Times New Roman" w:hAnsi="Times New Roman" w:eastAsia="微软雅黑"/>
          <w:b/>
          <w:color w:val="2E74B5"/>
          <w:sz w:val="26"/>
          <w:szCs w:val="26"/>
        </w:rPr>
        <w:t xml:space="preserve">9.1 缓存配置信息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项目</w:t>
            </w:r>
          </w:p>
        </w:tc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取值 / 说明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缓存机制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待填(按硬件平台确认)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缓存开关参数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待填(如 vLLM: --enable-prefix-caching;SGLang:默认开启)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测试时开关状态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开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显存分配策略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待填(显存中分配给 KV cache 的比例或上限)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冷轮语料构造方式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固定开头前缀 / 每轮插入全新随机片段(防命中)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热轮语料构造方式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同一前缀文本重复请求,开头完全一致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36 缓存配置信息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本次测试未执行该测试项。</w:t>
      </w:r>
    </w:p>
    <w:p>
      <w:pPr>
        <w:spacing w:before="320" w:after="160" w:line="360" w:lineRule="auto"/>
      </w:pPr>
      <w:bookmarkStart w:id="210" w:name="_Toc10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十、NIAH 长上下文检索测试</w:t>
      </w:r>
      <w:bookmarkEnd w:id="210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NIAH(Needle In A Haystack)在长上下文语料的不同深度埋入随机探针(数字密钥),要求模型原样找回,检验模型对长上下文的真实利用能力。填了上下文长度时按宣称值验证(首档 98%% 起测 × 多埋针深度复测,丢针按 5%% 阶梯下探定位实测边界);未填时从 8K 逐档翻倍探测,首个失败点二分细化,定位实打实的有效上下文。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输入长度点位</w:t>
            </w:r>
          </w:p>
        </w:tc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埋针深度 25%</w:t>
            </w:r>
          </w:p>
        </w:tc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埋针深度 50%</w:t>
            </w:r>
          </w:p>
        </w:tc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埋针深度 75%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256.9K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100.0(2/2)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100.0(2/2)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100.0(2/2)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37 NIAH 长度点位 × 埋针深度命中率(%)(模型:Qwen3.8-27B-FP8)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有效上下文结论:与宣称一致:全部长度点位均命中(宣称 262.14K)</w:t>
      </w:r>
    </w:p>
    <w:p>
      <w:pPr>
        <w:spacing w:before="320" w:after="160" w:line="360" w:lineRule="auto"/>
      </w:pPr>
      <w:bookmarkStart w:id="211" w:name="_Toc11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十一、长时稳定性测试</w:t>
      </w:r>
      <w:bookmarkEnd w:id="211"/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小算力设备散热受限,持续负载可能触发降频,生成速度随时间衰减。本项连续压测,分段记录,观察生成速度衰减与失败情况。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360"/>
      </w:tblGrid>
      <w:tr>
        <w:tc>
          <w:tcPr>
            <w:tcW w:w="9360" w:type="dxa"/>
            <w:shd w:val="clear" w:color="auto" w:fill="F7F8FA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color w:val="444444"/>
                <w:sz w:val="18"/>
                <w:szCs w:val="18"/>
              </w:rPr>
              <w:t xml:space="preserve">压测参数:输入档位 128K · 每波并发 5 · 压测时长 120 分钟</w:t>
            </w:r>
          </w:p>
        </w:tc>
      </w:tr>
    </w:tbl>
    <w:p>
      <w:pPr>
        <w:spacing w:before="0" w:after="120" w:line="360" w:lineRule="auto"/>
      </w:pP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时间节点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10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窗口1(2026-09-16 19:13:20)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13613.8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14631.5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32510.0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33534.0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2004.0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33534.0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窗口2(2026-09-16 19:23:20)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13940.1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14778.0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28113.0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35370.0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2043.0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35370.0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窗口3(2026-09-16 19:33:20)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14177.4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14670.0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28317.0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33477.0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2045.0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33477.0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窗口4(2026-09-16 19:43:20)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14177.9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14681.0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28202.0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36664.0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2020.0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36664.0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窗口5(2026-09-16 19:53:20)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13802.7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15062.0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27319.0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28891.0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2018.0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28891.0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窗口6(2026-09-16 20:03:20)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13335.0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14801.5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27938.0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36547.0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2013.0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36547.0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窗口7(2026-09-16 20:13:20)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13822.9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15092.0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27648.0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29038.0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2016.0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29038.0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窗口8(2026-09-16 20:23:20)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13948.9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14447.0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27789.0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34206.0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2061.0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34206.0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窗口9(2026-09-16 20:33:20)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14479.9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14509.5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28543.0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34690.0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2047.0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34690.0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窗口10(2026-09-16 20:43:20)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13965.0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14722.0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28112.0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34607.0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2020.0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34607.0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窗口11(2026-09-16 20:53:20)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13435.1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14552.0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28301.0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34765.0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2046.0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34765.0</w:t>
            </w:r>
          </w:p>
        </w:tc>
      </w:tr>
      <w:tr>
        <w:tc>
          <w:tcPr>
            <w:tcW w:w="10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窗口12(2026-09-16 21:03:20)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14131.3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14579.0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29021.0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36585.0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2033.0</w:t>
            </w:r>
          </w:p>
        </w:tc>
        <w:tc>
          <w:tcPr>
            <w:tcW w:w="10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36585.0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38 长时稳定性测试首 token 延迟 TTFT(ms)分布(模型:Qwen3.8-27B-FP8)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时间节点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成功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失败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平均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P50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P95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P99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最短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最长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ITL(ms)</w:t>
            </w:r>
          </w:p>
        </w:tc>
        <w:tc>
          <w:tcPr>
            <w:tcW w:w="85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趋势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窗口1(2026-09-16 19:13:20)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48.4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63.9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窗口2(2026-09-16 19:23:20)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70.5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20.7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降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窗口3(2026-09-16 19:33:20)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68.2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窗口4(2026-09-16 19:43:20)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窗口5(2026-09-16 19:53:20)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降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窗口6(2026-09-16 20:03:20)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48.0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36.3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窗口7(2026-09-16 20:13:20)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37.4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66.8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窗口8(2026-09-16 20:23:20)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67.2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升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窗口9(2026-09-16 20:33:20)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47.4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71.1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降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窗口10(2026-09-16 20:43:20)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61.6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35.7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69.8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窗口11(2026-09-16 20:53:20)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47.6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46.0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62.0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35.3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72.5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  <w:tr>
        <w:tc>
          <w:tcPr>
            <w:tcW w:w="85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窗口12(2026-09-16 21:03:20)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47.1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45.5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60.9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35.5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74.1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21.2</w:t>
            </w:r>
          </w:p>
        </w:tc>
        <w:tc>
          <w:tcPr>
            <w:tcW w:w="85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平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39 长时稳定性测试生成速度(tokens/s)分布(模型:Qwen3.8-27B-FP8)</w: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性能衰减:3.10%(末窗口较首窗口速度变化;-)</w:t>
      </w:r>
    </w:p>
    <w:p>
      <w:pPr>
        <w:spacing w:before="320" w:after="160" w:line="360" w:lineRule="auto"/>
      </w:pPr>
      <w:bookmarkStart w:id="212" w:name="_Toc12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十二、质量抽检</w:t>
      </w:r>
      <w:bookmarkEnd w:id="212"/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0" w:type="dxa"/>
          <w:bottom w:w="60" w:type="dxa"/>
          <w:left w:w="100" w:type="dxa"/>
          <w:right w:w="100" w:type="dxa"/>
        </w:tblCellMar>
      </w:tblPr>
      <w:tblGrid>
        <w:gridCol w:w="9360"/>
      </w:tblGrid>
      <w:tr>
        <w:tc>
          <w:tcPr>
            <w:tcW w:w="9360" w:type="dxa"/>
            <w:shd w:val="clear" w:color="auto" w:fill="F7F8FA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color w:val="444444"/>
                <w:sz w:val="18"/>
                <w:szCs w:val="18"/>
              </w:rPr>
              <w:t xml:space="preserve">测试方法:质量题由 pi 智能体执行,可自主调用文件与命令工具;产物类题目启用 goal 契约(智能体持续工作直至声明完成,单题上限 1 小时);不限制输出长度(不携带 max_tokens);裁判模型逐题判定通过 / 未通过。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宋体"/>
          <w:sz w:val="21"/>
          <w:szCs w:val="21"/>
        </w:rPr>
        <w:t xml:space="preserve">任务 9(Qwen3.8-27B-FP8):共 29 题,结论 正常(异常 0,存疑 0)。由 pi 智能体在独立沙箱中实际作答并产出文件,裁判模型逐题评分。</w:t>
      </w:r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w="1872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题目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裁判评分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初筛结论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人工复核</w:t>
            </w:r>
          </w:p>
        </w:tc>
        <w:tc>
          <w:tcPr>
            <w:tcW w:w="1872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异常描述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文档:季度销售 Excel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2026年第一季度销售数据表.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文档:产品介绍 PPT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document.pptx, 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文档:项目周报 Word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document.docx, 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文档:测试报告 PDF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chars.txt, docu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财税-专票普票区别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法务-N+1经济补偿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合规-数据出境路径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测算-阶梯报价单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项目-交付排期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洗车问题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工资表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2026年8月工资表.xlsx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公司介绍 PPT,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make_ppt.py, pi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Word 通知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2026中秋国庆放假通知.do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设备监控仪表盘页面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dashboard.html,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周年庆活动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anniversary-lan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任务管理 Web 应用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index.html, pi-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坦克大战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未评判(裁判模型未配置);已落地 index.html(53934 字符)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Excel-进销存台账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document.xlsx, 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Excel-年度项目预算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2026市场部预算.xlsx,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Excel-月度损益表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2026H1损益表.xlsx,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PPT-新品发布6页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QM-200发布会.pptx,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PPT-Q2经营分析8页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2026Q2经营分析.pptx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PPT-投标述标10页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document.pptx, 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Word-项目启动会纪要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Q3会员重构启动会纪要.doc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Word-项目验收报告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document.docx, 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Word-需求规格说明书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CRM系统需求规格说明书V1.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PDF-设备报价单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NotoSC-Bold.ttf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PDF-出厂检验报告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QM200出厂检验报告.pdf</w:t>
            </w:r>
          </w:p>
        </w:tc>
      </w:tr>
      <w:tr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PDF-产品说明书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正常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</w:t>
            </w:r>
          </w:p>
        </w:tc>
        <w:tc>
          <w:tcPr>
            <w:tcW w:w="1872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未评判(裁判模型未配置);pi 智能体产出文件: NotoSC-Bold.ttf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40 质量抽检记录(模型:Qwen3.8-27B-FP8)</w:t>
      </w:r>
    </w:p>
    <w:p>
      <w:pPr>
        <w:spacing w:before="200" w:after="60" w:line="360" w:lineRule="auto"/>
      </w:pPr>
      <w:r>
        <w:rPr>
          <w:rFonts w:ascii="Times New Roman" w:hAnsi="Times New Roman" w:eastAsia="微软雅黑"/>
          <w:b/>
          <w:color w:val="2E74B5"/>
          <w:sz w:val="22"/>
          <w:szCs w:val="22"/>
        </w:rPr>
        <w:t xml:space="preserve">产物附件(双击图标打开原文件)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附件:文档:季度销售 Excel(document.xlsx,双击图标打开)</w:t>
      </w:r>
    </w:p>
    <w:p>
      <w:pPr>
        <w:spacing w:after="120"/>
      </w:pPr>
      <w:r>
        <w:object>
          <v:shape id="_x0000_i1027" o:spt="75" type="#_x0000_t75" style="height:73pt;width:64pt;" o:ole="t" filled="f" o:preferrelative="t" stroked="f" coordsize="21600,21600">
            <v:fill on="f" focussize="0,0"/>
            <v:stroke on="f"/>
            <v:imagedata r:id="rId3" o:title=""/>
            <o:lock v:ext="edit" aspectratio="t"/>
            <w10:wrap type="none"/>
            <w10:anchorlock/>
          </v:shape>
          <o:OLEObject Type="Embed" ProgID="Excel.Sheet.12" ShapeID="_x0000_i1027" DrawAspect="Icon" ObjectID="_1468075702" r:id="rId4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document.xlsx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附件:文档:产品介绍 PPT(document.pptx,双击图标打开)</w:t>
      </w:r>
    </w:p>
    <w:p>
      <w:pPr>
        <w:spacing w:after="120"/>
      </w:pPr>
      <w:r>
        <w:object>
          <v:shape id="_x0000_i1028" o:spt="75" type="#_x0000_t75" style="height:73pt;width:6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owerPoint.Show.12" ShapeID="_x0000_i1028" DrawAspect="Icon" ObjectID="_1468075703" r:id="rId6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document.pptx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附件:文档:项目周报 Word(document.docx,双击图标打开)</w:t>
      </w:r>
    </w:p>
    <w:p>
      <w:pPr>
        <w:spacing w:after="120"/>
      </w:pPr>
      <w:r>
        <w:object>
          <v:shape id="_x0000_i1029" o:spt="75" type="#_x0000_t75" style="height:73pt;width:64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29" DrawAspect="Icon" ObjectID="_1468075704" r:id="rId8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document.docx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附件:文档:测试报告 PDF(document.pdf,双击图标打开)</w:t>
      </w:r>
    </w:p>
    <w:p>
      <w:pPr>
        <w:spacing w:after="120"/>
      </w:pPr>
      <w:r>
        <w:object>
          <v:shape id="_x0000_i1030" o:spt="75" type="#_x0000_t75" style="height:73pt;width:64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30" DrawAspect="Icon" ObjectID="_1468075705" r:id="rId10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document.pdf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附件:工资表(document.xlsx,双击图标打开)</w:t>
      </w:r>
    </w:p>
    <w:p>
      <w:pPr>
        <w:spacing w:after="120"/>
      </w:pPr>
      <w:r>
        <w:object>
          <v:shape id="_x0000_i1031" o:spt="75" type="#_x0000_t75" style="height:73pt;width:64pt;" o:ole="t" filled="f" o:preferrelative="t" stroked="f" coordsize="21600,21600">
            <v:fill on="f" focussize="0,0"/>
            <v:stroke on="f"/>
            <v:imagedata r:id="rId3" o:title=""/>
            <o:lock v:ext="edit" aspectratio="t"/>
            <w10:wrap type="none"/>
            <w10:anchorlock/>
          </v:shape>
          <o:OLEObject Type="Embed" ProgID="Excel.Sheet.12" ShapeID="_x0000_i1031" DrawAspect="Icon" ObjectID="_1468075706" r:id="rId11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document.xlsx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附件:公司介绍 PPT,(document.docx,双击图标打开)</w:t>
      </w:r>
    </w:p>
    <w:p>
      <w:pPr>
        <w:spacing w:after="120"/>
      </w:pPr>
      <w:r>
        <w:object>
          <v:shape id="_x0000_i1032" o:spt="75" type="#_x0000_t75" style="height:73pt;width:64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32" DrawAspect="Icon" ObjectID="_1468075707" r:id="rId12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document.docx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附件:Word 通知(document.docx,双击图标打开)</w:t>
      </w:r>
    </w:p>
    <w:p>
      <w:pPr>
        <w:spacing w:after="120"/>
      </w:pPr>
      <w:r>
        <w:object>
          <v:shape id="_x0000_i1033" o:spt="75" type="#_x0000_t75" style="height:73pt;width:64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33" DrawAspect="Icon" ObjectID="_1468075708" r:id="rId13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document.docx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附件:设备监控仪表盘页面(index.html,双击图标打开)</w:t>
      </w:r>
    </w:p>
    <w:p>
      <w:pPr>
        <w:spacing w:after="120"/>
      </w:pPr>
      <w:r>
        <w:object>
          <v:shape id="_x0000_i1034" o:spt="75" type="#_x0000_t75" style="height:73pt;width:64pt;" o:ole="t" filled="f" o:preferrelative="t" stroked="f" coordsize="21600,21600">
            <v:fill on="f" focussize="0,0"/>
            <v:stroke on="f"/>
            <v:imagedata r:id="rId1" o:title=""/>
            <o:lock v:ext="edit" aspectratio="t"/>
            <w10:wrap type="none"/>
            <w10:anchorlock/>
          </v:shape>
          <o:OLEObject Type="Embed" ProgID="Package" ShapeID="_x0000_i1034" DrawAspect="Icon" ObjectID="_1468075709" r:id="rId14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index.html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附件:周年庆活动(index.html,双击图标打开)</w:t>
      </w:r>
    </w:p>
    <w:p>
      <w:pPr>
        <w:spacing w:after="120"/>
      </w:pPr>
      <w:r>
        <w:object>
          <v:shape id="_x0000_i1035" o:spt="75" type="#_x0000_t75" style="height:73pt;width:64pt;" o:ole="t" filled="f" o:preferrelative="t" stroked="f" coordsize="21600,21600">
            <v:fill on="f" focussize="0,0"/>
            <v:stroke on="f"/>
            <v:imagedata r:id="rId1" o:title=""/>
            <o:lock v:ext="edit" aspectratio="t"/>
            <w10:wrap type="none"/>
            <w10:anchorlock/>
          </v:shape>
          <o:OLEObject Type="Embed" ProgID="Package" ShapeID="_x0000_i1035" DrawAspect="Icon" ObjectID="_1468075710" r:id="rId15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index.html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附件:任务管理 Web 应用(index.html,双击图标打开)</w:t>
      </w:r>
    </w:p>
    <w:p>
      <w:pPr>
        <w:spacing w:after="120"/>
      </w:pPr>
      <w:r>
        <w:object>
          <v:shape id="_x0000_i1036" o:spt="75" type="#_x0000_t75" style="height:73pt;width:64pt;" o:ole="t" filled="f" o:preferrelative="t" stroked="f" coordsize="21600,21600">
            <v:fill on="f" focussize="0,0"/>
            <v:stroke on="f"/>
            <v:imagedata r:id="rId1" o:title=""/>
            <o:lock v:ext="edit" aspectratio="t"/>
            <w10:wrap type="none"/>
            <w10:anchorlock/>
          </v:shape>
          <o:OLEObject Type="Embed" ProgID="Package" ShapeID="_x0000_i1036" DrawAspect="Icon" ObjectID="_1468075711" r:id="rId16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index.html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附件:坦克大战(index.html,双击图标打开)</w:t>
      </w:r>
    </w:p>
    <w:p>
      <w:pPr>
        <w:spacing w:after="120"/>
      </w:pPr>
      <w:r>
        <w:object>
          <v:shape id="_x0000_i1037" o:spt="75" type="#_x0000_t75" style="height:73pt;width:64pt;" o:ole="t" filled="f" o:preferrelative="t" stroked="f" coordsize="21600,21600">
            <v:fill on="f" focussize="0,0"/>
            <v:stroke on="f"/>
            <v:imagedata r:id="rId1" o:title=""/>
            <o:lock v:ext="edit" aspectratio="t"/>
            <w10:wrap type="none"/>
            <w10:anchorlock/>
          </v:shape>
          <o:OLEObject Type="Embed" ProgID="Package" ShapeID="_x0000_i1037" DrawAspect="Icon" ObjectID="_1468075712" r:id="rId17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index.html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附件:Excel-进销存台账(document.xlsx,双击图标打开)</w:t>
      </w:r>
    </w:p>
    <w:p>
      <w:pPr>
        <w:spacing w:after="120"/>
      </w:pPr>
      <w:r>
        <w:object>
          <v:shape id="_x0000_i1038" o:spt="75" type="#_x0000_t75" style="height:73pt;width:64pt;" o:ole="t" filled="f" o:preferrelative="t" stroked="f" coordsize="21600,21600">
            <v:fill on="f" focussize="0,0"/>
            <v:stroke on="f"/>
            <v:imagedata r:id="rId3" o:title=""/>
            <o:lock v:ext="edit" aspectratio="t"/>
            <w10:wrap type="none"/>
            <w10:anchorlock/>
          </v:shape>
          <o:OLEObject Type="Embed" ProgID="Excel.Sheet.12" ShapeID="_x0000_i1038" DrawAspect="Icon" ObjectID="_1468075713" r:id="rId18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document.xlsx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附件:Excel-年度项目预算(document.xlsx,双击图标打开)</w:t>
      </w:r>
    </w:p>
    <w:p>
      <w:pPr>
        <w:spacing w:after="120"/>
      </w:pPr>
      <w:r>
        <w:object>
          <v:shape id="_x0000_i1039" o:spt="75" type="#_x0000_t75" style="height:73pt;width:64pt;" o:ole="t" filled="f" o:preferrelative="t" stroked="f" coordsize="21600,21600">
            <v:fill on="f" focussize="0,0"/>
            <v:stroke on="f"/>
            <v:imagedata r:id="rId3" o:title=""/>
            <o:lock v:ext="edit" aspectratio="t"/>
            <w10:wrap type="none"/>
            <w10:anchorlock/>
          </v:shape>
          <o:OLEObject Type="Embed" ProgID="Excel.Sheet.12" ShapeID="_x0000_i1039" DrawAspect="Icon" ObjectID="_1468075714" r:id="rId19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document.xlsx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附件:Excel-月度损益表(document.xlsx,双击图标打开)</w:t>
      </w:r>
    </w:p>
    <w:p>
      <w:pPr>
        <w:spacing w:after="120"/>
      </w:pPr>
      <w:r>
        <w:object>
          <v:shape id="_x0000_i1040" o:spt="75" type="#_x0000_t75" style="height:73pt;width:64pt;" o:ole="t" filled="f" o:preferrelative="t" stroked="f" coordsize="21600,21600">
            <v:fill on="f" focussize="0,0"/>
            <v:stroke on="f"/>
            <v:imagedata r:id="rId3" o:title=""/>
            <o:lock v:ext="edit" aspectratio="t"/>
            <w10:wrap type="none"/>
            <w10:anchorlock/>
          </v:shape>
          <o:OLEObject Type="Embed" ProgID="Excel.Sheet.12" ShapeID="_x0000_i1040" DrawAspect="Icon" ObjectID="_1468075715" r:id="rId20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document.xlsx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附件:PPT-新品发布6页(document.pptx,双击图标打开)</w:t>
      </w:r>
    </w:p>
    <w:p>
      <w:pPr>
        <w:spacing w:after="120"/>
      </w:pPr>
      <w:r>
        <w:object>
          <v:shape id="_x0000_i1041" o:spt="75" type="#_x0000_t75" style="height:73pt;width:6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owerPoint.Show.12" ShapeID="_x0000_i1041" DrawAspect="Icon" ObjectID="_1468075716" r:id="rId21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document.pptx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附件:PPT-Q2经营分析8页(document.pptx,双击图标打开)</w:t>
      </w:r>
    </w:p>
    <w:p>
      <w:pPr>
        <w:spacing w:after="120"/>
      </w:pPr>
      <w:r>
        <w:object>
          <v:shape id="_x0000_i1042" o:spt="75" type="#_x0000_t75" style="height:73pt;width:6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owerPoint.Show.12" ShapeID="_x0000_i1042" DrawAspect="Icon" ObjectID="_1468075717" r:id="rId22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document.pptx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附件:PPT-投标述标10页(document.pptx,双击图标打开)</w:t>
      </w:r>
    </w:p>
    <w:p>
      <w:pPr>
        <w:spacing w:after="120"/>
      </w:pPr>
      <w:r>
        <w:object>
          <v:shape id="_x0000_i1043" o:spt="75" type="#_x0000_t75" style="height:73pt;width:64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PowerPoint.Show.12" ShapeID="_x0000_i1043" DrawAspect="Icon" ObjectID="_1468075718" r:id="rId23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document.pptx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附件:Word-项目启动会纪要(document.docx,双击图标打开)</w:t>
      </w:r>
    </w:p>
    <w:p>
      <w:pPr>
        <w:spacing w:after="120"/>
      </w:pPr>
      <w:r>
        <w:object>
          <v:shape id="_x0000_i1044" o:spt="75" type="#_x0000_t75" style="height:73pt;width:64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44" DrawAspect="Icon" ObjectID="_1468075719" r:id="rId24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document.docx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附件:Word-项目验收报告(document.docx,双击图标打开)</w:t>
      </w:r>
    </w:p>
    <w:p>
      <w:pPr>
        <w:spacing w:after="120"/>
      </w:pPr>
      <w:r>
        <w:object>
          <v:shape id="_x0000_i1045" o:spt="75" type="#_x0000_t75" style="height:73pt;width:64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45" DrawAspect="Icon" ObjectID="_1468075720" r:id="rId25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document.docx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附件:Word-需求规格说明书(document.docx,双击图标打开)</w:t>
      </w:r>
    </w:p>
    <w:p>
      <w:pPr>
        <w:spacing w:after="120"/>
      </w:pPr>
      <w:r>
        <w:object>
          <v:shape id="_x0000_i1046" o:spt="75" type="#_x0000_t75" style="height:73pt;width:64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Word.Document.12" ShapeID="_x0000_i1046" DrawAspect="Icon" ObjectID="_1468075721" r:id="rId26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document.docx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附件:PDF-设备报价单(document.pdf,双击图标打开)</w:t>
      </w:r>
    </w:p>
    <w:p>
      <w:pPr>
        <w:spacing w:after="120"/>
      </w:pPr>
      <w:r>
        <w:object>
          <v:shape id="_x0000_i1047" o:spt="75" type="#_x0000_t75" style="height:73pt;width:64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47" DrawAspect="Icon" ObjectID="_1468075722" r:id="rId27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document.pdf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附件:PDF-出厂检验报告(document.pdf,双击图标打开)</w:t>
      </w:r>
    </w:p>
    <w:p>
      <w:pPr>
        <w:spacing w:after="120"/>
      </w:pPr>
      <w:r>
        <w:object>
          <v:shape id="_x0000_i1048" o:spt="75" type="#_x0000_t75" style="height:73pt;width:64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48" DrawAspect="Icon" ObjectID="_1468075723" r:id="rId28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document.pdf</w:t>
      </w:r>
    </w:p>
    <w:p>
      <w:pPr>
        <w:spacing w:before="0" w:after="40" w:line="360" w:lineRule="auto"/>
      </w:pPr>
      <w:r>
        <w:rPr>
          <w:rFonts w:ascii="Times New Roman" w:hAnsi="Times New Roman" w:eastAsia="宋体"/>
          <w:color w:val="595959"/>
          <w:sz w:val="18"/>
          <w:szCs w:val="18"/>
        </w:rPr>
        <w:t xml:space="preserve">附件:PDF-产品说明书(document.pdf,双击图标打开)</w:t>
      </w:r>
    </w:p>
    <w:p>
      <w:pPr>
        <w:spacing w:after="120"/>
      </w:pPr>
      <w:r>
        <w:object>
          <v:shape id="_x0000_i1049" o:spt="75" type="#_x0000_t75" style="height:73pt;width:64pt;" o:ole="t" filled="f" o:preferrelative="t" stroked="f" coordsize="21600,21600"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Package" ShapeID="_x0000_i1049" DrawAspect="Icon" ObjectID="_1468075724" r:id="rId29">
            <o:LockedField>false</o:LockedField>
          </o:OLEObject>
        </w:object>
      </w:r>
    </w:p>
    <w:p>
      <w:pPr>
        <w:spacing w:before="0" w:after="120" w:line="360" w:lineRule="auto"/>
      </w:pPr>
      <w:r>
        <w:rPr>
          <w:rFonts w:ascii="Times New Roman" w:hAnsi="Times New Roman" w:eastAsia="宋体"/>
          <w:color w:val="404040"/>
          <w:sz w:val="16"/>
          <w:szCs w:val="16"/>
        </w:rPr>
        <w:t xml:space="preserve">document.pdf</w:t>
      </w:r>
    </w:p>
    <w:p>
      <w:pPr>
        <w:spacing w:before="320" w:after="160" w:line="360" w:lineRule="auto"/>
      </w:pPr>
      <w:bookmarkStart w:id="213" w:name="_Toc13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附录 A 关键测试方法说明</w:t>
      </w:r>
      <w:bookmarkEnd w:id="213"/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4680"/>
        <w:gridCol w:w="4680"/>
      </w:tblGrid>
      <w:tr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术语</w:t>
            </w:r>
          </w:p>
        </w:tc>
        <w:tc>
          <w:tcPr>
            <w:tcW w:w="468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TTFT(首 token 延迟)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从发送请求到收到第一个 token 的耗时,主要反映输入处理(prefill)速度,越小越好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生成速度 TPS(decode)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每秒生成的 token 数,窗口为「首个输出 token → 最后一个 token」,不含 TTFT(不含首字延迟);与 vLLM benchmark / genai-perf 口径一致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ITL(Inter-Token Latency)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相邻两个输出 token 的平均间隔,单位 ms/token,即 1000 ÷ TPS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总吞吐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全部并发请求合计每秒输出的 token 数,单位 tokens/s,反映整机容量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总耗时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从发送请求到接收完全部输出的端到端时间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KV cache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模型注意力计算时缓存在显存中的中间结果,复用可跳过重复计算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前缀缓存(prefix caching)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服务端开关:请求与缓存同开头时复用已算好的 KV cache,跳过重复计算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缓存命中(热请求)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请求开头与缓存完全一致,前缀缓存生效,首 token 延迟显著下降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缓存未命中(冷请求)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无缓存可复用,请求按完整前缀计算,反映真实硬件算力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命中率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缓存命中请求数占总请求数的比例,或服务端返回的 cached_tokens 占比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P99 延迟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99% 的请求慢于该延迟阈值,用于观察长尾延迟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NIAH(大海捞针)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在长上下文不同深度埋入探针并要求找回,衡量真实可用上下文长度</w:t>
            </w:r>
          </w:p>
        </w:tc>
      </w:tr>
      <w:tr>
        <w:tc>
          <w:tcPr>
            <w:tcW w:w="468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有效上下文</w:t>
            </w:r>
          </w:p>
        </w:tc>
        <w:tc>
          <w:tcPr>
            <w:tcW w:w="468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探针命中率开始显著下降的上下文位置,即模型实际可用的上下文边界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41 术语表</w:t>
      </w:r>
    </w:p>
    <w:p>
      <w:pPr>
        <w:spacing w:before="320" w:after="160" w:line="360" w:lineRule="auto"/>
      </w:pPr>
      <w:bookmarkStart w:id="214" w:name="_Toc14"/>
      <w:r>
        <w:rPr>
          <w:rFonts w:ascii="Times New Roman" w:hAnsi="Times New Roman" w:eastAsia="微软雅黑"/>
          <w:b/>
          <w:color w:val="2E74B5"/>
          <w:sz w:val="32"/>
          <w:szCs w:val="32"/>
        </w:rPr>
        <w:t xml:space="preserve">附录 B 版本记录</w:t>
      </w:r>
      <w:bookmarkEnd w:id="214"/>
    </w:p>
    <w:tbl>
      <w:tblPr>
        <w:tblW w:w="9360" w:type="dxa"/>
        <w:tblLayout w:type="fixed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0" w:type="dxa"/>
          <w:bottom w:w="40" w:type="dxa"/>
          <w:left w:w="80" w:type="dxa"/>
          <w:right w:w="8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版本</w:t>
            </w:r>
          </w:p>
        </w:tc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日期</w:t>
            </w:r>
          </w:p>
        </w:tc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修改人</w:t>
            </w:r>
          </w:p>
        </w:tc>
        <w:tc>
          <w:tcPr>
            <w:tcW w:w="2340" w:type="dxa"/>
            <w:shd w:val="clear" w:color="auto" w:fill="F2F4F7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b/>
                <w:sz w:val="18"/>
                <w:szCs w:val="18"/>
              </w:rPr>
              <w:t xml:space="preserve">修改说明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V1.0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2026-09-17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IMR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首次发布(平台 v3.0.5 自动生成)</w:t>
            </w:r>
          </w:p>
        </w:tc>
      </w:tr>
      <w:tr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  <w:tc>
          <w:tcPr>
            <w:tcW w:w="2340" w:type="dxa"/>
            <w:vAlign w:val="center"/>
          </w:tcPr>
          <w:p>
            <w:pPr>
              <w:spacing w:before="20" w:after="20" w:line="360" w:lineRule="auto"/>
              <w:jc w:val="center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待填</w:t>
            </w:r>
          </w:p>
        </w:tc>
      </w:tr>
    </w:tbl>
    <w:p>
      <w:pPr>
        <w:spacing w:before="60" w:after="200" w:line="360" w:lineRule="auto"/>
        <w:jc w:val="center"/>
      </w:pPr>
      <w:r>
        <w:rPr>
          <w:rFonts w:ascii="Times New Roman" w:hAnsi="Times New Roman" w:eastAsia="微软雅黑"/>
          <w:color w:val="595959"/>
          <w:sz w:val="18"/>
          <w:szCs w:val="18"/>
        </w:rPr>
        <w:t xml:space="preserve">表 42 版本记录</w:t>
      </w:r>
    </w:p>
    <w:sectPr>
      <w:footerReference w:type="default" r:id="rId30"/>
      <w:footerReference w:type="first" r:id="rId31"/>
      <w:titlePg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Times New Roman" w:hAnsi="Times New Roman" w:eastAsia="宋体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end"/>
    </w:r>
    <w:r>
      <w:rPr>
        <w:rFonts w:ascii="Times New Roman" w:hAnsi="Times New Roman" w:eastAsia="宋体"/>
        <w:sz w:val="18"/>
      </w:rPr>
      <w:t xml:space="preserve"> 页</w:t>
    </w:r>
  </w:p>
</w:ftr>
</file>

<file path=word/footer2.xml><?xml version="1.0" encoding="utf-8"?>
<w:ftr xmlns:w="http://schemas.openxmlformats.org/wordprocessingml/2006/main">
  <w:p/>
</w:ftr>
</file>

<file path=word/_rels/document.xml.rels><?xml version="1.0" encoding="UTF-8" standalone="yes"?>
<Relationships xmlns="http://schemas.openxmlformats.org/package/2006/relationships"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1" Type="http://schemas.openxmlformats.org/officeDocument/2006/relationships/image" Target="media/ole_html.png"/><Relationship Id="rId2" Type="http://schemas.openxmlformats.org/officeDocument/2006/relationships/oleObject" Target="embeddings/oleObject1.bin"/><Relationship Id="rId3" Type="http://schemas.openxmlformats.org/officeDocument/2006/relationships/image" Target="media/ole_xlsx.png"/><Relationship Id="rId4" Type="http://schemas.openxmlformats.org/officeDocument/2006/relationships/oleObject" Target="embeddings/oleObject2.xlsx"/><Relationship Id="rId5" Type="http://schemas.openxmlformats.org/officeDocument/2006/relationships/image" Target="media/ole_pptx.png"/><Relationship Id="rId6" Type="http://schemas.openxmlformats.org/officeDocument/2006/relationships/oleObject" Target="embeddings/oleObject3.pptx"/><Relationship Id="rId7" Type="http://schemas.openxmlformats.org/officeDocument/2006/relationships/image" Target="media/ole_docx.png"/><Relationship Id="rId8" Type="http://schemas.openxmlformats.org/officeDocument/2006/relationships/oleObject" Target="embeddings/oleObject4.docx"/><Relationship Id="rId9" Type="http://schemas.openxmlformats.org/officeDocument/2006/relationships/image" Target="media/ole_pdf.png"/><Relationship Id="rId10" Type="http://schemas.openxmlformats.org/officeDocument/2006/relationships/oleObject" Target="embeddings/oleObject5.bin"/><Relationship Id="rId11" Type="http://schemas.openxmlformats.org/officeDocument/2006/relationships/oleObject" Target="embeddings/oleObject6.xlsx"/><Relationship Id="rId12" Type="http://schemas.openxmlformats.org/officeDocument/2006/relationships/oleObject" Target="embeddings/oleObject7.docx"/><Relationship Id="rId13" Type="http://schemas.openxmlformats.org/officeDocument/2006/relationships/oleObject" Target="embeddings/oleObject8.docx"/><Relationship Id="rId14" Type="http://schemas.openxmlformats.org/officeDocument/2006/relationships/oleObject" Target="embeddings/oleObject9.bin"/><Relationship Id="rId15" Type="http://schemas.openxmlformats.org/officeDocument/2006/relationships/oleObject" Target="embeddings/oleObject10.bin"/><Relationship Id="rId16" Type="http://schemas.openxmlformats.org/officeDocument/2006/relationships/oleObject" Target="embeddings/oleObject11.bin"/><Relationship Id="rId17" Type="http://schemas.openxmlformats.org/officeDocument/2006/relationships/oleObject" Target="embeddings/oleObject12.bin"/><Relationship Id="rId18" Type="http://schemas.openxmlformats.org/officeDocument/2006/relationships/oleObject" Target="embeddings/oleObject13.xlsx"/><Relationship Id="rId19" Type="http://schemas.openxmlformats.org/officeDocument/2006/relationships/oleObject" Target="embeddings/oleObject14.xlsx"/><Relationship Id="rId20" Type="http://schemas.openxmlformats.org/officeDocument/2006/relationships/oleObject" Target="embeddings/oleObject15.xlsx"/><Relationship Id="rId21" Type="http://schemas.openxmlformats.org/officeDocument/2006/relationships/oleObject" Target="embeddings/oleObject16.pptx"/><Relationship Id="rId22" Type="http://schemas.openxmlformats.org/officeDocument/2006/relationships/oleObject" Target="embeddings/oleObject17.pptx"/><Relationship Id="rId23" Type="http://schemas.openxmlformats.org/officeDocument/2006/relationships/oleObject" Target="embeddings/oleObject18.pptx"/><Relationship Id="rId24" Type="http://schemas.openxmlformats.org/officeDocument/2006/relationships/oleObject" Target="embeddings/oleObject19.docx"/><Relationship Id="rId25" Type="http://schemas.openxmlformats.org/officeDocument/2006/relationships/oleObject" Target="embeddings/oleObject20.docx"/><Relationship Id="rId26" Type="http://schemas.openxmlformats.org/officeDocument/2006/relationships/oleObject" Target="embeddings/oleObject21.docx"/><Relationship Id="rId27" Type="http://schemas.openxmlformats.org/officeDocument/2006/relationships/oleObject" Target="embeddings/oleObject22.bin"/><Relationship Id="rId28" Type="http://schemas.openxmlformats.org/officeDocument/2006/relationships/oleObject" Target="embeddings/oleObject23.bin"/><Relationship Id="rId29" Type="http://schemas.openxmlformats.org/officeDocument/2006/relationships/oleObject" Target="embeddings/oleObject24.bin"/></Relationships>
</file>