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The economic pressures shaping the 2026 midterms, in four charts</w:t>
      </w:r>
    </w:p>
    <w:p>
      <w:pPr/>
      <w:r>
        <w:rPr>
          <w:i/>
        </w:rPr>
        <w:t xml:space="preserve">Draft, data as of Oct. 21, 2026</w:t>
      </w:r>
    </w:p>
    <w:p>
      <w:pPr/>
      <w:r>
        <w:t xml:space="preserve">Energy-driven inflation and stalled hiring are the economic pressures shaping the Nov. 3 midterms, and they are landing unevenly. That matters because few seats are in play. Cook Political Report rates 21 House races as toss-ups and 25 more as leaning toward one party, and seven Senate seats as toss-ups. It has 214 House seats at least leaning Democratic; 218 is a majority.</w:t>
      </w:r>
    </w:p>
    <w:p>
      <w:pPr>
        <w:pStyle w:val="Heading2"/>
      </w:pPr>
      <w:r>
        <w:t xml:space="preserve">Energy has pushed inflation back up</w:t>
      </w:r>
    </w:p>
    <w:p>
      <w:pPr/>
      <w:r>
        <w:t xml:space="preserve">Consumer prices rose 3.7% in the year to September, up from 3.0% when President Trump took office. Core inflation is 2.6%; the gap is mostly energy, up 20.4%, with gasoline up 34.2% (BLS). The cause is the Iran war, which began in February. Gasoline averages $4.28, the first October above $4, and diesel $6.32, up $2.70 from a year ago (AAA).</w:t>
      </w:r>
    </w:p>
    <w:p>
      <w:pPr/>
      <w:r>
        <w:t xml:space="preserve">Tariffs were the first leg. The effective rate rose from 2.3% in January 2025 to nearly 17% before the Supreme Court struck down the IEEPA tariffs in February; it is about 7% now (Brookings, Penn Wharton). Core goods prices are up only 0.7%, so energy now drives the story.</w:t>
      </w:r>
    </w:p>
    <w:p>
      <w:pPr/>
      <w:r>
        <w:t xml:space="preserve">Three numbers frame the record: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This term:</w:t>
      </w:r>
      <w:r>
        <w:t xml:space="preserve"> prices are up 6.1% since January 2025.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Prior term:</w:t>
      </w:r>
      <w:r>
        <w:t xml:space="preserve"> prices rose 21.4% over Biden's four years and 13.5% over the comparable first 20 months. The current pace, about 3.6% annualized, is under half the roughly 8% then. But the direction is worsening: the annual rate is up from 3.0% to 3.7%.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Energy's share:</w:t>
      </w:r>
      <w:r>
        <w:t xml:space="preserve"> roughly 1.2 to 1.3 points of the 3.7%, about a third. Spillover is visible but narrow. Core prices rose 0.3% in each of the last two months, above expectations in September, with airfares up 22.4% on the year. Services excluding energy are up 3.1% and shelter 3.2%, while groceries are tame, up 1.8%.</w:t>
      </w:r>
    </w:p>
    <w:p>
      <w:pPr>
        <w:pStyle w:val="Quote"/>
      </w:pPr>
      <w:r>
        <w:rPr>
          <w:i/>
        </w:rPr>
        <w:t xml:space="preserve">[Chart 1: Cumulative CPI change by month of term, Trump (2025–26) vs. Biden (2021–25), with energy's contribution to the latest reading.]</w:t>
      </w:r>
    </w:p>
    <w:p>
      <w:pPr/>
      <w:r>
        <w:t xml:space="preserve">Diesel is where policy is most visibly improvising. Wholesale prices have more than doubled since January, and retail hit a record $6.53 on Sept. 22. On Oct. 9 the administration eased sanctions on Russian diesel, announcing a deal for 4.8 million metric tons. Analysts expect little near-term relief; critics say it aids Moscow's war effort.</w:t>
      </w:r>
    </w:p>
    <w:p>
      <w:pPr>
        <w:pStyle w:val="Heading2"/>
      </w:pPr>
      <w:r>
        <w:t xml:space="preserve">Voters rank prices first</w:t>
      </w:r>
    </w:p>
    <w:p>
      <w:pPr/>
      <w:r>
        <w:t xml:space="preserve">In AP-NORC's Oct. 8–12 poll, 84% called the cost of living one of their most important issues, 85% the economy and 64% the Iran war; 79% disapprove of the president's handling of the cost of living. Reuters/Ipsos finds 74% say their cost of living is heading the wrong way. Nationally, Democrats lead 40% to 34% on trust over the economy (Deseret News/Hinckley).</w:t>
      </w:r>
    </w:p>
    <w:p>
      <w:pPr>
        <w:pStyle w:val="Heading2"/>
      </w:pPr>
      <w:r>
        <w:t xml:space="preserve">The pain is uneven, and it overlaps the battlegrounds</w:t>
      </w:r>
    </w:p>
    <w:p>
      <w:pPr/>
      <w:r>
        <w:t xml:space="preserve">Only a small fraction of seats are truly competitive, so geography matters. Prices are rising fastest in the Midwest and Northeast, 4.2% each, versus 3.4% in the West (BLS). Gasoline is $6.34 in California but $3.80 in Georgia (AAA). Iowa, Kansas, Michigan and Texas have Senate toss-ups; Iowa and Michigan also host House toss-ups.</w:t>
      </w:r>
    </w:p>
    <w:p>
      <w:pPr>
        <w:pStyle w:val="Quote"/>
      </w:pPr>
      <w:r>
        <w:rPr>
          <w:i/>
        </w:rPr>
        <w:t xml:space="preserve">[Chart 2 (map): Gasoline price change since January 2025 by state, with Cook toss-up races marked.]</w:t>
      </w:r>
    </w:p>
    <w:p>
      <w:pPr>
        <w:pStyle w:val="Heading2"/>
      </w:pPr>
      <w:r>
        <w:t xml:space="preserve">Hiring has stalled, but layoffs have not risen</w:t>
      </w:r>
    </w:p>
    <w:p>
      <w:pPr/>
      <w:r>
        <w:t xml:space="preserve">Payrolls rose just 29,000 in September; the 12-month average is 45,000. Unemployment is 4.2%, up from 4.0% in January 2025, partly because more people entered the labor force (BLS). Layoffs remain rare: initial jobless claims were 199,000 in the week to Oct. 10, near the lowest since 1969.</w:t>
      </w:r>
    </w:p>
    <w:p>
      <w:pPr/>
      <w:r>
        <w:t xml:space="preserve">Unemployment has diverged by state. From January 2025 to May 2026, Connecticut's rate rose 1.8 points; Delaware, Maryland, Minnesota and Florida rose 1.3 to 1.5. Ohio hit a record-low 3.3% in August.</w:t>
      </w:r>
    </w:p>
    <w:p>
      <w:pPr>
        <w:pStyle w:val="Quote"/>
      </w:pPr>
      <w:r>
        <w:rPr>
          <w:i/>
        </w:rPr>
        <w:t xml:space="preserve">[Chart 3 (map): Change in unemployment rate by state, January 2025 to latest, with toss-up races marked.]</w:t>
      </w:r>
    </w:p>
    <w:p>
      <w:pPr>
        <w:pStyle w:val="Heading2"/>
      </w:pPr>
      <w:r>
        <w:t xml:space="preserve">Paychecks are lagging prices, but not for everyone</w:t>
      </w:r>
    </w:p>
    <w:p>
      <w:pPr/>
      <w:r>
        <w:t xml:space="preserve">Real wages are falling. Average hourly earnings are up 3.0% against 3.7% inflation, so real hourly earnings are down 0.7% on the year (BLS).</w:t>
      </w:r>
    </w:p>
    <w:p>
      <w:pPr/>
      <w:r>
        <w:t xml:space="preserve">Total incomes hold up better because wages are only about half of personal income. After-tax income rose 4.8% against 3.4% inflation (BEA), a real gain near 1.4%, but it was flat in August and the saving rate is 4.1%. Transfers and asset income carry households without a paycheck.</w:t>
      </w:r>
    </w:p>
    <w:p>
      <w:pPr/>
      <w:r>
        <w:t xml:space="preserve">The squeeze is also generational. Boomers hold 52% of household wealth with 30% of households; Millennials and Gen Z hold 11% with 37% (Fed, Q2). Recent graduates face 5.7% unemployment and 41.5% underemployment (New York Fed). Tufts CIRCLE finds 65% of 18-to-29-year-olds name cost of living or inflation as their top issue.</w:t>
      </w:r>
    </w:p>
    <w:p>
      <w:pPr/>
      <w:r>
        <w:t xml:space="preserve">Whether that becomes votes is the open question. Youth turnout was about 28% in 2022 and 47% in 2024 (CIRCLE); only 35% of under-30s tell Harvard pollsters they will definitely vote. The Mamdani precedent shows the upside: turnout among New Yorkers 18 to 29 hit 41.9% in 2025, up from 11.1% in 2021, on an affordability message (NYC Campaign Finance Board).</w:t>
      </w:r>
    </w:p>
    <w:p>
      <w:pPr>
        <w:pStyle w:val="Quote"/>
      </w:pPr>
      <w:r>
        <w:rPr>
          <w:i/>
        </w:rPr>
        <w:t xml:space="preserve">[Chart 4 (map): Real personal income growth by state, with toss-up races marked.]</w:t>
      </w:r>
    </w:p>
    <w:p>
      <w:pPr/>
      <w:r>
        <w:t xml:space="preserve">No new CPI report arrives before Election Day; October's is due Nov. 10.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economic pressures shaping the 2026 midterms, in four charts</dc:title>
  <dc:description>Claude Docs node/39263f95-20d5@1 docx-w7</dc:description>
  <cp:revision>1</cp:revision>
</cp:coreProperties>
</file>