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3A52"/>
          <w:sz w:val="46"/>
          <w:szCs w:val="46"/>
        </w:rPr>
        <w:t xml:space="preserve">Household Formation and the Housing Market</w:t>
      </w:r>
    </w:p>
    <w:p>
      <w:pPr>
        <w:spacing w:after="40"/>
      </w:pPr>
      <w:r>
        <w:rPr>
          <w:rFonts w:ascii="Calibri" w:cs="Calibri" w:eastAsia="Calibri" w:hAnsi="Calibri"/>
          <w:i/>
          <w:iCs/>
          <w:color w:val="5B5B5B"/>
          <w:sz w:val="24"/>
          <w:szCs w:val="24"/>
        </w:rPr>
        <w:t xml:space="preserve">Composition vs. propensity — why the living-with-parents share looks like a plateau, not a coiled spring</w:t>
      </w:r>
    </w:p>
    <w:p>
      <w:pPr>
        <w:pBdr>
          <w:bottom w:val="single" w:color="1A3A52" w:sz="6" w:space="6"/>
        </w:pBdr>
        <w:spacing w:after="200"/>
      </w:pPr>
      <w:r>
        <w:rPr>
          <w:rFonts w:ascii="Calibri" w:cs="Calibri" w:eastAsia="Calibri" w:hAnsi="Calibri"/>
          <w:b/>
          <w:bCs/>
          <w:caps/>
          <w:color w:val="9C3A2E"/>
          <w:spacing w:val="12"/>
          <w:sz w:val="18"/>
          <w:szCs w:val="18"/>
        </w:rPr>
        <w:t xml:space="preserve">RBC Economics  —  Housing Formation Update</w:t>
      </w:r>
    </w:p>
    <w:tbl>
      <w:tblPr>
        <w:tblW w:type="dxa" w:w="10080"/>
        <w:tblBorders>
          <w:top w:val="single" w:color="1A3A52" w:sz="4"/>
          <w:left w:val="single" w:color="1A3A52" w:sz="4"/>
          <w:bottom w:val="single" w:color="1A3A52" w:sz="4"/>
          <w:right w:val="single" w:color="1A3A52" w:sz="4"/>
          <w:insideH w:val="none" w:color="FFFFFF" w:sz="0"/>
          <w:insideV w:val="none" w:color="FFFFFF" w:sz="0"/>
        </w:tblBorders>
      </w:tblPr>
      <w:tblGrid>
        <w:gridCol w:w="10080"/>
      </w:tblGrid>
      <w:tr>
        <w:tc>
          <w:tcPr>
            <w:tcW w:type="dxa" w:w="10080"/>
            <w:shd w:fill="F2F2F2" w:color="auto" w:val="clear"/>
            <w:tcMar>
              <w:top w:type="dxa" w:w="160"/>
              <w:left w:type="dxa" w:w="220"/>
              <w:bottom w:type="dxa" w:w="160"/>
              <w:right w:type="dxa" w:w="220"/>
            </w:tcMar>
          </w:tcPr>
          <w:p>
            <w:pPr>
              <w:spacing w:after="100"/>
            </w:pPr>
            <w:r>
              <w:rPr>
                <w:rFonts w:ascii="Calibri" w:cs="Calibri" w:eastAsia="Calibri" w:hAnsi="Calibri"/>
                <w:b/>
                <w:bCs/>
                <w:caps/>
                <w:color w:val="1A3A52"/>
                <w:sz w:val="22"/>
                <w:szCs w:val="22"/>
              </w:rPr>
              <w:t xml:space="preserve">Bottom line</w:t>
            </w:r>
          </w:p>
          <w:p>
            <w:pPr>
              <w:pStyle w:val="ListParagraph"/>
              <w:numPr>
                <w:ilvl w:val="0"/>
                <w:numId w:val="2"/>
              </w:numPr>
              <w:spacing w:after="80" w:line="270"/>
            </w:pPr>
            <w:r>
              <w:rPr>
                <w:rFonts w:ascii="Calibri" w:cs="Calibri" w:eastAsia="Calibri" w:hAnsi="Calibri"/>
                <w:color w:val="222222"/>
                <w:sz w:val="20"/>
                <w:szCs w:val="20"/>
              </w:rPr>
              <w:t xml:space="preserve">About 22% of 25–35-year-olds lived with a parent (or grandparent/parent-in-law) in 2025 — down from a ~24% peak in 2017–19, but still above the pre-2006 norm.</w:t>
            </w:r>
          </w:p>
          <w:p>
            <w:pPr>
              <w:pStyle w:val="ListParagraph"/>
              <w:numPr>
                <w:ilvl w:val="0"/>
                <w:numId w:val="2"/>
              </w:numPr>
              <w:spacing w:after="80" w:line="270"/>
            </w:pPr>
            <w:r>
              <w:rPr>
                <w:rFonts w:ascii="Calibri" w:cs="Calibri" w:eastAsia="Calibri" w:hAnsi="Calibri"/>
                <w:color w:val="222222"/>
                <w:sz w:val="20"/>
                <w:szCs w:val="20"/>
              </w:rPr>
              <w:t xml:space="preserve">The move splits cleanly into two non-overlapping pieces — composition (who makes up the cohort) and propensity (how likely each group is to live at home). Propensity did roughly five times more work than composition in both the 2006–19 climb and the 2019–24 pullback.</w:t>
            </w:r>
          </w:p>
          <w:p>
            <w:pPr>
              <w:pStyle w:val="ListParagraph"/>
              <w:numPr>
                <w:ilvl w:val="0"/>
                <w:numId w:val="2"/>
              </w:numPr>
              <w:spacing w:after="80" w:line="270"/>
            </w:pPr>
            <w:r>
              <w:rPr>
                <w:rFonts w:ascii="Calibri" w:cs="Calibri" w:eastAsia="Calibri" w:hAnsi="Calibri"/>
                <w:color w:val="222222"/>
                <w:sz w:val="20"/>
                <w:szCs w:val="20"/>
              </w:rPr>
              <w:t xml:space="preserve">Propensity tracks fiscal and labor conditions closely: stimulus, a tight labor market, and remote work pulled the share down through 2022; a materially weaker entry-level job market and mortgage rates stuck above 6% have since capped the recovery.</w:t>
            </w:r>
          </w:p>
          <w:p>
            <w:pPr>
              <w:pStyle w:val="ListParagraph"/>
              <w:numPr>
                <w:ilvl w:val="0"/>
                <w:numId w:val="2"/>
              </w:numPr>
              <w:spacing w:after="80" w:line="270"/>
            </w:pPr>
            <w:r>
              <w:rPr>
                <w:rFonts w:ascii="Calibri" w:cs="Calibri" w:eastAsia="Calibri" w:hAnsi="Calibri"/>
                <w:color w:val="222222"/>
                <w:sz w:val="20"/>
                <w:szCs w:val="20"/>
              </w:rPr>
              <w:t xml:space="preserve">Net-net: this reads as a durable plateau, not pent-up demand waiting to break loose. Our envelope math points to a modest, rental-skewed source of incremental housing demand from here — not a wave.</w:t>
            </w:r>
          </w:p>
        </w:tc>
      </w:tr>
    </w:tbl>
    <w:p>
      <w:pPr>
        <w:spacing w:after="80"/>
      </w:pPr>
    </w:p>
    <w:p>
      <w:pPr>
        <w:pBdr>
          <w:bottom w:val="single" w:color="C9C9C9" w:sz="4" w:space="4"/>
        </w:pBdr>
        <w:spacing w:after="160" w:before="380"/>
      </w:pPr>
      <w:r>
        <w:rPr>
          <w:rFonts w:ascii="Calibri" w:cs="Calibri" w:eastAsia="Calibri" w:hAnsi="Calibri"/>
          <w:b/>
          <w:bCs/>
          <w:color w:val="1A3A52"/>
          <w:sz w:val="28"/>
          <w:szCs w:val="28"/>
        </w:rPr>
        <w:t xml:space="preserve">1.  A durable plateau, not a discrete wave</w:t>
      </w:r>
    </w:p>
    <w:p>
      <w:pPr>
        <w:spacing w:after="160" w:line="288"/>
        <w:jc w:val="left"/>
      </w:pPr>
      <w:r>
        <w:rPr>
          <w:rFonts w:ascii="Calibri" w:cs="Calibri" w:eastAsia="Calibri" w:hAnsi="Calibri"/>
          <w:b w:val="false"/>
          <w:bCs w:val="false"/>
          <w:i w:val="false"/>
          <w:iCs w:val="false"/>
          <w:color w:val="222222"/>
          <w:sz w:val="21"/>
          <w:szCs w:val="21"/>
        </w:rPr>
        <w:t xml:space="preserve">A growing housing narrative holds that young adults — priced out and underemployed — are stuck at home with parents, banking latent housing demand that will eventually break loose. There is something to that: accounting for today's soft entry-level job market and the staying power of hybrid work, this cohort has remained more likely to live with parents than prior generations were at the same age. That pattern holds for both younger Millennials and Gen Z, who make up most of the 25–35 group we assess here.</w:t>
      </w:r>
    </w:p>
    <w:p>
      <w:pPr>
        <w:spacing w:after="160" w:line="288"/>
        <w:jc w:val="left"/>
      </w:pPr>
      <w:r>
        <w:rPr>
          <w:rFonts w:ascii="Calibri" w:cs="Calibri" w:eastAsia="Calibri" w:hAnsi="Calibri"/>
          <w:b w:val="false"/>
          <w:bCs w:val="false"/>
          <w:i w:val="false"/>
          <w:iCs w:val="false"/>
          <w:color w:val="222222"/>
          <w:sz w:val="21"/>
          <w:szCs w:val="21"/>
        </w:rPr>
        <w:t xml:space="preserve">Using the most recent American Community Survey data, we estimate that about 22% of 25–35-year-olds were living with a parent, grandparent, or parent-in-law in 2025. That is below the pre-pandemic peak of nearly 24% (2017–19), but still running above the level seen over the pandemic years and above the norm that prevailed before 2006.</w:t>
      </w:r>
    </w:p>
    <w:tbl>
      <w:tblPr>
        <w:tblW w:type="dxa" w:w="10080"/>
        <w:tblBorders>
          <w:top w:val="dashed" w:color="C9C9C9" w:sz="6"/>
          <w:left w:val="dashed" w:color="C9C9C9" w:sz="6"/>
          <w:bottom w:val="dashed" w:color="C9C9C9" w:sz="6"/>
          <w:right w:val="dashed" w:color="C9C9C9" w:sz="6"/>
          <w:insideH w:val="none" w:color="FFFFFF" w:sz="0"/>
          <w:insideV w:val="none" w:color="FFFFFF" w:sz="0"/>
        </w:tblBorders>
      </w:tblPr>
      <w:tblGrid>
        <w:gridCol w:w="10080"/>
      </w:tblGrid>
      <w:tr>
        <w:tc>
          <w:tcPr>
            <w:tcW w:type="dxa" w:w="10080"/>
            <w:shd w:fill="FCFCFC" w:color="auto" w:val="clear"/>
            <w:tcMar>
              <w:top w:type="dxa" w:w="260"/>
              <w:left w:type="dxa" w:w="260"/>
              <w:bottom w:type="dxa" w:w="220"/>
              <w:right w:type="dxa" w:w="260"/>
            </w:tcMar>
            <w:vAlign w:val="center"/>
          </w:tcPr>
          <w:p>
            <w:pPr>
              <w:spacing w:after="60"/>
              <w:jc w:val="center"/>
            </w:pPr>
            <w:r>
              <w:rPr>
                <w:rFonts w:ascii="Calibri" w:cs="Calibri" w:eastAsia="Calibri" w:hAnsi="Calibri"/>
                <w:b/>
                <w:bCs/>
                <w:caps/>
                <w:color w:val="5B5B5B"/>
                <w:spacing w:val="10"/>
                <w:sz w:val="17"/>
                <w:szCs w:val="17"/>
              </w:rPr>
              <w:t xml:space="preserve">EXHIBIT 1</w:t>
            </w:r>
          </w:p>
          <w:p>
            <w:pPr>
              <w:spacing w:after="100"/>
              <w:jc w:val="center"/>
            </w:pPr>
            <w:r>
              <w:rPr>
                <w:rFonts w:ascii="Calibri" w:cs="Calibri" w:eastAsia="Calibri" w:hAnsi="Calibri"/>
                <w:b/>
                <w:bCs/>
                <w:color w:val="1A3A52"/>
                <w:sz w:val="21"/>
                <w:szCs w:val="21"/>
              </w:rPr>
              <w:t xml:space="preserve">Living-with-parents share has retreated from 2017 peak</w:t>
            </w:r>
          </w:p>
          <w:p>
            <w:pPr>
              <w:spacing w:after="100"/>
              <w:jc w:val="center"/>
            </w:pPr>
            <w:r>
              <w:rPr>
                <w:rFonts w:ascii="Calibri" w:cs="Calibri" w:eastAsia="Calibri" w:hAnsi="Calibri"/>
                <w:i/>
                <w:iCs/>
                <w:color w:val="999999"/>
                <w:sz w:val="19"/>
                <w:szCs w:val="19"/>
              </w:rPr>
              <w:t xml:space="preserve">[ paste existing chart here ]</w:t>
            </w:r>
          </w:p>
          <w:p>
            <w:pPr>
              <w:spacing w:after="0"/>
              <w:jc w:val="center"/>
            </w:pPr>
            <w:r>
              <w:rPr>
                <w:rFonts w:ascii="Calibri" w:cs="Calibri" w:eastAsia="Calibri" w:hAnsi="Calibri"/>
                <w:i/>
                <w:iCs/>
                <w:color w:val="5B5B5B"/>
                <w:sz w:val="16"/>
                <w:szCs w:val="16"/>
              </w:rPr>
              <w:t xml:space="preserve">Source: American Community Survey, RBC Economics.</w:t>
            </w:r>
          </w:p>
        </w:tc>
      </w:tr>
    </w:tbl>
    <w:p>
      <w:pPr>
        <w:spacing w:after="60"/>
      </w:pPr>
    </w:p>
    <w:p>
      <w:pPr>
        <w:spacing w:after="160" w:line="288"/>
        <w:jc w:val="left"/>
      </w:pPr>
      <w:r>
        <w:rPr>
          <w:rFonts w:ascii="Calibri" w:cs="Calibri" w:eastAsia="Calibri" w:hAnsi="Calibri"/>
          <w:b w:val="false"/>
          <w:bCs w:val="false"/>
          <w:i w:val="false"/>
          <w:iCs w:val="false"/>
          <w:color w:val="222222"/>
          <w:sz w:val="21"/>
          <w:szCs w:val="21"/>
        </w:rPr>
        <w:t xml:space="preserve">Looking ahead, we expect the living-with-parents share to stay elevated relative to its pre-2006 history, but to remain below its 2017–19 peak. The decomposition below makes clear why this is a symptom of affordability and the labor market, rather than of life events. Every subgroup of young adults — married or not, in school or not, employed or not — became more likely to live at home between 2006 and 2019, which rules out “people are just getting married later” as the main explanation. The post-2019 decline coincided with a genuinely different backdrop: remote work enabled moves to cheaper geographies, a historically tight labor market pulled the national unemployment rate down, pandemic relief padded savings, and mortgage rates sat below 3% through most of 2020–21. The inflation shock and Fed hiking cycle that followed then pushed mortgage rates to their highest sustained level since before the financial crisis — and, as Section 4 details, the entry-level job market has quietly weakened in a way the headline unemployment rate hides. Both of those more recent shifts cut the other way, which is why the retreat from the 2017–19 peak has been partial rather than complete.</w:t>
      </w:r>
    </w:p>
    <w:p>
      <w:pPr>
        <w:pBdr>
          <w:bottom w:val="single" w:color="C9C9C9" w:sz="4" w:space="4"/>
        </w:pBdr>
        <w:spacing w:after="160" w:before="380"/>
      </w:pPr>
      <w:r>
        <w:rPr>
          <w:rFonts w:ascii="Calibri" w:cs="Calibri" w:eastAsia="Calibri" w:hAnsi="Calibri"/>
          <w:b/>
          <w:bCs/>
          <w:color w:val="1A3A52"/>
          <w:sz w:val="28"/>
          <w:szCs w:val="28"/>
        </w:rPr>
        <w:t xml:space="preserve">2.  Composition and propensity: a MECE framework</w:t>
      </w:r>
    </w:p>
    <w:p>
      <w:pPr>
        <w:spacing w:after="160" w:line="288"/>
        <w:jc w:val="left"/>
      </w:pPr>
      <w:r>
        <w:rPr>
          <w:rFonts w:ascii="Calibri" w:cs="Calibri" w:eastAsia="Calibri" w:hAnsi="Calibri"/>
          <w:b w:val="false"/>
          <w:bCs w:val="false"/>
          <w:i w:val="false"/>
          <w:iCs w:val="false"/>
          <w:color w:val="222222"/>
          <w:sz w:val="21"/>
          <w:szCs w:val="21"/>
        </w:rPr>
        <w:t xml:space="preserve">We split the change in the living-with-parents rate into two mutually exclusive, collectively exhaustive pieces, plus a small cross-term that captures the overlap between them:</w:t>
      </w:r>
    </w:p>
    <w:p>
      <w:pPr>
        <w:spacing w:after="160" w:before="60"/>
        <w:jc w:val="center"/>
      </w:pPr>
      <w:r>
        <w:rPr>
          <w:rFonts w:ascii="Calibri" w:cs="Calibri" w:eastAsia="Calibri" w:hAnsi="Calibri"/>
          <w:b/>
          <w:bCs/>
          <w:i/>
          <w:iCs/>
          <w:color w:val="1A3A52"/>
          <w:sz w:val="20"/>
          <w:szCs w:val="20"/>
        </w:rPr>
        <w:t xml:space="preserve">Total change  =  Composition effect  +  Propensity effect  +  Interaction effect</w:t>
      </w:r>
    </w:p>
    <w:p>
      <w:pPr>
        <w:pStyle w:val="ListParagraph"/>
        <w:numPr>
          <w:ilvl w:val="0"/>
          <w:numId w:val="2"/>
        </w:numPr>
        <w:spacing w:after="90" w:line="276"/>
      </w:pPr>
      <w:r>
        <w:rPr>
          <w:rFonts w:ascii="Calibri" w:cs="Calibri" w:eastAsia="Calibri" w:hAnsi="Calibri"/>
          <w:b/>
          <w:bCs/>
          <w:color w:val="1A3A52"/>
          <w:sz w:val="21"/>
          <w:szCs w:val="21"/>
        </w:rPr>
        <w:t xml:space="preserve">Composition asks: </w:t>
      </w:r>
      <w:r>
        <w:rPr>
          <w:rFonts w:ascii="Calibri" w:cs="Calibri" w:eastAsia="Calibri" w:hAnsi="Calibri"/>
          <w:color w:val="222222"/>
          <w:sz w:val="21"/>
          <w:szCs w:val="21"/>
        </w:rPr>
        <w:t xml:space="preserve">did the 25–35 population simply shift toward groups (married, in school, disabled, and so on) that are more or less likely to live at home in the first place? This holds each group's own likelihood fixed and only lets the population mix move.</w:t>
      </w:r>
    </w:p>
    <w:p>
      <w:pPr>
        <w:pStyle w:val="ListParagraph"/>
        <w:numPr>
          <w:ilvl w:val="0"/>
          <w:numId w:val="2"/>
        </w:numPr>
        <w:spacing w:after="90" w:line="276"/>
      </w:pPr>
      <w:r>
        <w:rPr>
          <w:rFonts w:ascii="Calibri" w:cs="Calibri" w:eastAsia="Calibri" w:hAnsi="Calibri"/>
          <w:b/>
          <w:bCs/>
          <w:color w:val="1A3A52"/>
          <w:sz w:val="21"/>
          <w:szCs w:val="21"/>
        </w:rPr>
        <w:t xml:space="preserve">Propensity asks the opposite question: </w:t>
      </w:r>
      <w:r>
        <w:rPr>
          <w:rFonts w:ascii="Calibri" w:cs="Calibri" w:eastAsia="Calibri" w:hAnsi="Calibri"/>
          <w:color w:val="222222"/>
          <w:sz w:val="21"/>
          <w:szCs w:val="21"/>
        </w:rPr>
        <w:t xml:space="preserve">within a given group — say, never-married and employed — did people become more or less likely to live at home? This holds the population mix fixed and only lets behavior move.</w:t>
      </w:r>
    </w:p>
    <w:p>
      <w:pPr>
        <w:pStyle w:val="ListParagraph"/>
        <w:numPr>
          <w:ilvl w:val="0"/>
          <w:numId w:val="2"/>
        </w:numPr>
        <w:spacing w:after="90" w:line="276"/>
      </w:pPr>
      <w:r>
        <w:rPr>
          <w:rFonts w:ascii="Calibri" w:cs="Calibri" w:eastAsia="Calibri" w:hAnsi="Calibri"/>
          <w:b/>
          <w:bCs/>
          <w:color w:val="1A3A52"/>
          <w:sz w:val="21"/>
          <w:szCs w:val="21"/>
        </w:rPr>
        <w:t xml:space="preserve">Interaction </w:t>
      </w:r>
      <w:r>
        <w:rPr>
          <w:rFonts w:ascii="Calibri" w:cs="Calibri" w:eastAsia="Calibri" w:hAnsi="Calibri"/>
          <w:color w:val="222222"/>
          <w:sz w:val="21"/>
          <w:szCs w:val="21"/>
        </w:rPr>
        <w:t xml:space="preserve">captures the small remaining part of the change that comes from composition and propensity moving together.</w:t>
      </w:r>
    </w:p>
    <w:p>
      <w:pPr>
        <w:spacing w:after="40"/>
      </w:pPr>
    </w:p>
    <w:p>
      <w:pPr>
        <w:spacing w:after="40" w:before="60"/>
      </w:pPr>
      <w:r>
        <w:rPr>
          <w:rFonts w:ascii="Calibri" w:cs="Calibri" w:eastAsia="Calibri" w:hAnsi="Calibri"/>
          <w:b/>
          <w:bCs/>
          <w:color w:val="1A3A52"/>
          <w:sz w:val="19"/>
          <w:szCs w:val="19"/>
        </w:rPr>
        <w:t xml:space="preserve">Table 1: Decomposition summary</w:t>
      </w:r>
    </w:p>
    <w:tbl>
      <w:tblPr>
        <w:tblW w:type="dxa" w:w="10080"/>
        <w:tblBorders>
          <w:top w:val="single" w:color="C9C9C9" w:sz="2"/>
          <w:left w:val="single" w:color="C9C9C9" w:sz="2"/>
          <w:bottom w:val="single" w:color="C9C9C9" w:sz="2"/>
          <w:right w:val="single" w:color="C9C9C9" w:sz="2"/>
          <w:insideH w:val="single" w:color="C9C9C9" w:sz="2"/>
          <w:insideV w:val="single" w:color="C9C9C9" w:sz="2"/>
        </w:tblBorders>
      </w:tblPr>
      <w:tblGrid>
        <w:gridCol w:w="3360"/>
        <w:gridCol w:w="3360"/>
        <w:gridCol w:w="3360"/>
      </w:tblGrid>
      <w:tr>
        <w:trPr>
          <w:tblHeader/>
        </w:trPr>
        <w:tc>
          <w:tcPr>
            <w:tcW w:type="dxa" w:w="3360"/>
            <w:shd w:fill="1A3A52" w:color="auto"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Effect</w:t>
            </w:r>
          </w:p>
        </w:tc>
        <w:tc>
          <w:tcPr>
            <w:tcW w:type="dxa" w:w="336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2006–19 (the rise)</w:t>
            </w:r>
          </w:p>
        </w:tc>
        <w:tc>
          <w:tcPr>
            <w:tcW w:type="dxa" w:w="336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2019–24 (the decline)</w:t>
            </w:r>
          </w:p>
        </w:tc>
      </w:tr>
      <w:tr>
        <w:tc>
          <w:tcPr>
            <w:tcW w:type="dxa" w:w="336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Composition</w:t>
            </w:r>
          </w:p>
        </w:tc>
        <w:tc>
          <w:tcPr>
            <w:tcW w:type="dxa" w:w="336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+1.77 pp  (22% of change)</w:t>
            </w:r>
          </w:p>
        </w:tc>
        <w:tc>
          <w:tcPr>
            <w:tcW w:type="dxa" w:w="336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+0.55 pp  (–30% of change)</w:t>
            </w:r>
          </w:p>
        </w:tc>
      </w:tr>
      <w:tr>
        <w:tc>
          <w:tcPr>
            <w:tcW w:type="dxa" w:w="3360"/>
            <w:shd w:fill="F7F7F7"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Propensity</w:t>
            </w:r>
          </w:p>
        </w:tc>
        <w:tc>
          <w:tcPr>
            <w:tcW w:type="dxa" w:w="336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+5.70 pp  (71% of change)</w:t>
            </w:r>
          </w:p>
        </w:tc>
        <w:tc>
          <w:tcPr>
            <w:tcW w:type="dxa" w:w="336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–2.30 pp  (124% of change)</w:t>
            </w:r>
          </w:p>
        </w:tc>
      </w:tr>
      <w:tr>
        <w:tc>
          <w:tcPr>
            <w:tcW w:type="dxa" w:w="336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Interaction</w:t>
            </w:r>
          </w:p>
        </w:tc>
        <w:tc>
          <w:tcPr>
            <w:tcW w:type="dxa" w:w="336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+0.54 pp  (7% of change)</w:t>
            </w:r>
          </w:p>
        </w:tc>
        <w:tc>
          <w:tcPr>
            <w:tcW w:type="dxa" w:w="336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–0.11 pp  (6% of change)</w:t>
            </w:r>
          </w:p>
        </w:tc>
      </w:tr>
      <w:tr>
        <w:tc>
          <w:tcPr>
            <w:tcW w:type="dxa" w:w="3360"/>
            <w:shd w:fill="E4E9ED" w:color="auto" w:val="clear"/>
            <w:tcMar>
              <w:top w:type="dxa" w:w="70"/>
              <w:left w:type="dxa" w:w="110"/>
              <w:bottom w:type="dxa" w:w="70"/>
              <w:right w:type="dxa" w:w="110"/>
            </w:tcMar>
            <w:vAlign w:val="center"/>
          </w:tcPr>
          <w:p>
            <w:pPr>
              <w:jc w:val="left"/>
            </w:pPr>
            <w:r>
              <w:rPr>
                <w:rFonts w:ascii="Calibri" w:cs="Calibri" w:eastAsia="Calibri" w:hAnsi="Calibri"/>
                <w:b/>
                <w:bCs/>
                <w:color w:val="222222"/>
                <w:sz w:val="18"/>
                <w:szCs w:val="18"/>
              </w:rPr>
              <w:t xml:space="preserve">Total</w:t>
            </w:r>
          </w:p>
        </w:tc>
        <w:tc>
          <w:tcPr>
            <w:tcW w:type="dxa" w:w="3360"/>
            <w:shd w:fill="E4E9ED" w:color="auto" w:val="clear"/>
            <w:tcMar>
              <w:top w:type="dxa" w:w="70"/>
              <w:left w:type="dxa" w:w="110"/>
              <w:bottom w:type="dxa" w:w="70"/>
              <w:right w:type="dxa" w:w="110"/>
            </w:tcMar>
            <w:vAlign w:val="center"/>
          </w:tcPr>
          <w:p>
            <w:pPr>
              <w:jc w:val="center"/>
            </w:pPr>
            <w:r>
              <w:rPr>
                <w:rFonts w:ascii="Calibri" w:cs="Calibri" w:eastAsia="Calibri" w:hAnsi="Calibri"/>
                <w:b/>
                <w:bCs/>
                <w:color w:val="222222"/>
                <w:sz w:val="18"/>
                <w:szCs w:val="18"/>
              </w:rPr>
              <w:t xml:space="preserve">+8.01 pp</w:t>
            </w:r>
          </w:p>
        </w:tc>
        <w:tc>
          <w:tcPr>
            <w:tcW w:type="dxa" w:w="3360"/>
            <w:shd w:fill="E4E9ED" w:color="auto" w:val="clear"/>
            <w:tcMar>
              <w:top w:type="dxa" w:w="70"/>
              <w:left w:type="dxa" w:w="110"/>
              <w:bottom w:type="dxa" w:w="70"/>
              <w:right w:type="dxa" w:w="110"/>
            </w:tcMar>
            <w:vAlign w:val="center"/>
          </w:tcPr>
          <w:p>
            <w:pPr>
              <w:jc w:val="center"/>
            </w:pPr>
            <w:r>
              <w:rPr>
                <w:rFonts w:ascii="Calibri" w:cs="Calibri" w:eastAsia="Calibri" w:hAnsi="Calibri"/>
                <w:b/>
                <w:bCs/>
                <w:color w:val="222222"/>
                <w:sz w:val="18"/>
                <w:szCs w:val="18"/>
              </w:rPr>
              <w:t xml:space="preserve">–1.86 pp</w:t>
            </w:r>
          </w:p>
        </w:tc>
      </w:tr>
    </w:tbl>
    <w:p>
      <w:pPr>
        <w:spacing w:after="220"/>
      </w:pPr>
      <w:r>
        <w:rPr>
          <w:rFonts w:ascii="Calibri" w:cs="Calibri" w:eastAsia="Calibri" w:hAnsi="Calibri"/>
          <w:i/>
          <w:iCs/>
          <w:color w:val="5B5B5B"/>
          <w:sz w:val="16"/>
          <w:szCs w:val="16"/>
        </w:rPr>
        <w:t xml:space="preserve">Source: RBC Economics shift-share decomposition, ACS microdata, ages 25–35.</w:t>
      </w:r>
    </w:p>
    <w:p>
      <w:pPr>
        <w:spacing w:after="160" w:line="288"/>
        <w:jc w:val="left"/>
      </w:pPr>
      <w:r>
        <w:rPr>
          <w:rFonts w:ascii="Calibri" w:cs="Calibri" w:eastAsia="Calibri" w:hAnsi="Calibri"/>
          <w:b w:val="false"/>
          <w:bCs w:val="false"/>
          <w:i w:val="false"/>
          <w:iCs w:val="false"/>
          <w:color w:val="222222"/>
          <w:sz w:val="21"/>
          <w:szCs w:val="21"/>
        </w:rPr>
        <w:t xml:space="preserve">The headline: propensity dominates both episodes. It explains 71% of the 2006–19 rise and more than the entirety of the 2019–24 decline — composition actually leaned the other way over 2019–24, a wrinkle we unpack in Section 3. We treat the two forces separately below, composition first and propensity second, so each reads as a self-contained, non-overlapping piece of the story.</w:t>
      </w:r>
    </w:p>
    <w:p>
      <w:pPr>
        <w:pBdr>
          <w:bottom w:val="single" w:color="C9C9C9" w:sz="4" w:space="4"/>
        </w:pBdr>
        <w:spacing w:after="160" w:before="380"/>
      </w:pPr>
      <w:r>
        <w:rPr>
          <w:rFonts w:ascii="Calibri" w:cs="Calibri" w:eastAsia="Calibri" w:hAnsi="Calibri"/>
          <w:b/>
          <w:bCs/>
          <w:color w:val="1A3A52"/>
          <w:sz w:val="28"/>
          <w:szCs w:val="28"/>
        </w:rPr>
        <w:t xml:space="preserve">3.  Composition: the population mix moved, but it's the smaller half of the story</w:t>
      </w:r>
    </w:p>
    <w:tbl>
      <w:tblPr>
        <w:tblW w:type="dxa" w:w="10080"/>
        <w:tblBorders>
          <w:top w:val="dashed" w:color="C9C9C9" w:sz="6"/>
          <w:left w:val="dashed" w:color="C9C9C9" w:sz="6"/>
          <w:bottom w:val="dashed" w:color="C9C9C9" w:sz="6"/>
          <w:right w:val="dashed" w:color="C9C9C9" w:sz="6"/>
          <w:insideH w:val="none" w:color="FFFFFF" w:sz="0"/>
          <w:insideV w:val="none" w:color="FFFFFF" w:sz="0"/>
        </w:tblBorders>
      </w:tblPr>
      <w:tblGrid>
        <w:gridCol w:w="10080"/>
      </w:tblGrid>
      <w:tr>
        <w:tc>
          <w:tcPr>
            <w:tcW w:type="dxa" w:w="10080"/>
            <w:shd w:fill="FCFCFC" w:color="auto" w:val="clear"/>
            <w:tcMar>
              <w:top w:type="dxa" w:w="260"/>
              <w:left w:type="dxa" w:w="260"/>
              <w:bottom w:type="dxa" w:w="220"/>
              <w:right w:type="dxa" w:w="260"/>
            </w:tcMar>
            <w:vAlign w:val="center"/>
          </w:tcPr>
          <w:p>
            <w:pPr>
              <w:spacing w:after="60"/>
              <w:jc w:val="center"/>
            </w:pPr>
            <w:r>
              <w:rPr>
                <w:rFonts w:ascii="Calibri" w:cs="Calibri" w:eastAsia="Calibri" w:hAnsi="Calibri"/>
                <w:b/>
                <w:bCs/>
                <w:caps/>
                <w:color w:val="5B5B5B"/>
                <w:spacing w:val="10"/>
                <w:sz w:val="17"/>
                <w:szCs w:val="17"/>
              </w:rPr>
              <w:t xml:space="preserve">EXHIBIT 2</w:t>
            </w:r>
          </w:p>
          <w:p>
            <w:pPr>
              <w:spacing w:after="100"/>
              <w:jc w:val="center"/>
            </w:pPr>
            <w:r>
              <w:rPr>
                <w:rFonts w:ascii="Calibri" w:cs="Calibri" w:eastAsia="Calibri" w:hAnsi="Calibri"/>
                <w:b/>
                <w:bCs/>
                <w:color w:val="1A3A52"/>
                <w:sz w:val="21"/>
                <w:szCs w:val="21"/>
              </w:rPr>
              <w:t xml:space="preserve">Never-married, employed adults now the largest share of 25–35-year-olds</w:t>
            </w:r>
          </w:p>
          <w:p>
            <w:pPr>
              <w:spacing w:after="100"/>
              <w:jc w:val="center"/>
            </w:pPr>
            <w:r>
              <w:rPr>
                <w:rFonts w:ascii="Calibri" w:cs="Calibri" w:eastAsia="Calibri" w:hAnsi="Calibri"/>
                <w:i/>
                <w:iCs/>
                <w:color w:val="999999"/>
                <w:sz w:val="19"/>
                <w:szCs w:val="19"/>
              </w:rPr>
              <w:t xml:space="preserve">[ paste existing chart here ]</w:t>
            </w:r>
          </w:p>
          <w:p>
            <w:pPr>
              <w:spacing w:after="0"/>
              <w:jc w:val="center"/>
            </w:pPr>
            <w:r>
              <w:rPr>
                <w:rFonts w:ascii="Calibri" w:cs="Calibri" w:eastAsia="Calibri" w:hAnsi="Calibri"/>
                <w:i/>
                <w:iCs/>
                <w:color w:val="5B5B5B"/>
                <w:sz w:val="16"/>
                <w:szCs w:val="16"/>
              </w:rPr>
              <w:t xml:space="preserve">Source: Macrobond, American Community Survey, RBC Economics.</w:t>
            </w:r>
          </w:p>
        </w:tc>
      </w:tr>
    </w:tbl>
    <w:p>
      <w:pPr>
        <w:spacing w:after="60"/>
      </w:pPr>
    </w:p>
    <w:p>
      <w:pPr>
        <w:spacing w:after="160" w:line="288"/>
        <w:jc w:val="left"/>
      </w:pPr>
      <w:r>
        <w:rPr>
          <w:rFonts w:ascii="Calibri" w:cs="Calibri" w:eastAsia="Calibri" w:hAnsi="Calibri"/>
          <w:b w:val="false"/>
          <w:bCs w:val="false"/>
          <w:i w:val="false"/>
          <w:iCs w:val="false"/>
          <w:color w:val="222222"/>
          <w:sz w:val="21"/>
          <w:szCs w:val="21"/>
        </w:rPr>
        <w:t xml:space="preserve">Delayed marriage and longer stretches of school are the two most obvious “compositional” stories, and both did happen: never-married, employed adults grew from about 25% to 38% of the 25–35 population between 2006 and 2024 — now the single largest group — while the married share fell from 44% to under 35%, and the share enrolled in school also declined modestly.</w:t>
      </w:r>
    </w:p>
    <w:p>
      <w:pPr>
        <w:spacing w:after="40" w:before="60"/>
      </w:pPr>
      <w:r>
        <w:rPr>
          <w:rFonts w:ascii="Calibri" w:cs="Calibri" w:eastAsia="Calibri" w:hAnsi="Calibri"/>
          <w:b/>
          <w:bCs/>
          <w:color w:val="1A3A52"/>
          <w:sz w:val="19"/>
          <w:szCs w:val="19"/>
        </w:rPr>
        <w:t xml:space="preserve">Table 2: Composition — population shares and their contribution to the change</w:t>
      </w:r>
    </w:p>
    <w:tbl>
      <w:tblPr>
        <w:tblW w:type="dxa" w:w="10080"/>
        <w:tblBorders>
          <w:top w:val="single" w:color="C9C9C9" w:sz="2"/>
          <w:left w:val="single" w:color="C9C9C9" w:sz="2"/>
          <w:bottom w:val="single" w:color="C9C9C9" w:sz="2"/>
          <w:right w:val="single" w:color="C9C9C9" w:sz="2"/>
          <w:insideH w:val="single" w:color="C9C9C9" w:sz="2"/>
          <w:insideV w:val="single" w:color="C9C9C9" w:sz="2"/>
        </w:tblBorders>
      </w:tblPr>
      <w:tblGrid>
        <w:gridCol w:w="2680"/>
        <w:gridCol w:w="1150"/>
        <w:gridCol w:w="1150"/>
        <w:gridCol w:w="1150"/>
        <w:gridCol w:w="1975"/>
        <w:gridCol w:w="1975"/>
      </w:tblGrid>
      <w:tr>
        <w:trPr>
          <w:tblHeader/>
        </w:trPr>
        <w:tc>
          <w:tcPr>
            <w:tcW w:type="dxa" w:w="2680"/>
            <w:shd w:fill="1A3A52" w:color="auto"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Archetype</w:t>
            </w:r>
          </w:p>
        </w:tc>
        <w:tc>
          <w:tcPr>
            <w:tcW w:type="dxa" w:w="115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Share
2006</w:t>
            </w:r>
          </w:p>
        </w:tc>
        <w:tc>
          <w:tcPr>
            <w:tcW w:type="dxa" w:w="115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Share
2019</w:t>
            </w:r>
          </w:p>
        </w:tc>
        <w:tc>
          <w:tcPr>
            <w:tcW w:type="dxa" w:w="115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Share
2024</w:t>
            </w:r>
          </w:p>
        </w:tc>
        <w:tc>
          <w:tcPr>
            <w:tcW w:type="dxa" w:w="1975"/>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Composition effect
2006–19 (pp)</w:t>
            </w:r>
          </w:p>
        </w:tc>
        <w:tc>
          <w:tcPr>
            <w:tcW w:type="dxa" w:w="1975"/>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Composition effect
2019–24 (pp)</w:t>
            </w:r>
          </w:p>
        </w:tc>
      </w:tr>
      <w:tr>
        <w:tc>
          <w:tcPr>
            <w:tcW w:type="dxa" w:w="268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Never-married, employed</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25.5%</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36.5%</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38.0%</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+2.47</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+0.45</w:t>
            </w:r>
          </w:p>
        </w:tc>
      </w:tr>
      <w:tr>
        <w:tc>
          <w:tcPr>
            <w:tcW w:type="dxa" w:w="2680"/>
            <w:shd w:fill="F7F7F7"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Married</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44.2%</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35.6%</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34.6%</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–0.35</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–0.08</w:t>
            </w:r>
          </w:p>
        </w:tc>
      </w:tr>
      <w:tr>
        <w:tc>
          <w:tcPr>
            <w:tcW w:type="dxa" w:w="268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In school</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10.9%</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10.0%</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8.9%</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–0.16</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–0.31</w:t>
            </w:r>
          </w:p>
        </w:tc>
      </w:tr>
      <w:tr>
        <w:tc>
          <w:tcPr>
            <w:tcW w:type="dxa" w:w="2680"/>
            <w:shd w:fill="F7F7F7"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Divorced / separated</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7.8%</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4.3%</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3.2%</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–0.54</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–0.23</w:t>
            </w:r>
          </w:p>
        </w:tc>
      </w:tr>
      <w:tr>
        <w:tc>
          <w:tcPr>
            <w:tcW w:type="dxa" w:w="268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Disabled</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6.4%</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6.7%</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8.4%</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+0.06</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+0.67</w:t>
            </w:r>
          </w:p>
        </w:tc>
      </w:tr>
      <w:tr>
        <w:tc>
          <w:tcPr>
            <w:tcW w:type="dxa" w:w="2680"/>
            <w:shd w:fill="F7F7F7"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Never-married, not in labor force</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2.9%</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3.9%</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4.0%</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+0.31</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+0.04</w:t>
            </w:r>
          </w:p>
        </w:tc>
      </w:tr>
      <w:tr>
        <w:tc>
          <w:tcPr>
            <w:tcW w:type="dxa" w:w="268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Never-married, unemployed</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2.1%</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2.1%</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2.2%</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+0.00</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+0.04</w:t>
            </w:r>
          </w:p>
        </w:tc>
      </w:tr>
      <w:tr>
        <w:tc>
          <w:tcPr>
            <w:tcW w:type="dxa" w:w="2680"/>
            <w:shd w:fill="F7F7F7"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Recently divorced</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0.8%</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0.7%</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+0.00</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–0.04</w:t>
            </w:r>
          </w:p>
        </w:tc>
      </w:tr>
      <w:tr>
        <w:tc>
          <w:tcPr>
            <w:tcW w:type="dxa" w:w="268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Other</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0.2%</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0.2%</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0.2%</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–0.01</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–0.01</w:t>
            </w:r>
          </w:p>
        </w:tc>
      </w:tr>
      <w:tr>
        <w:tc>
          <w:tcPr>
            <w:tcW w:type="dxa" w:w="2680"/>
            <w:shd w:fill="E4E9ED" w:color="auto" w:val="clear"/>
            <w:tcMar>
              <w:top w:type="dxa" w:w="70"/>
              <w:left w:type="dxa" w:w="110"/>
              <w:bottom w:type="dxa" w:w="70"/>
              <w:right w:type="dxa" w:w="110"/>
            </w:tcMar>
            <w:vAlign w:val="center"/>
          </w:tcPr>
          <w:p>
            <w:pPr>
              <w:jc w:val="left"/>
            </w:pPr>
            <w:r>
              <w:rPr>
                <w:rFonts w:ascii="Calibri" w:cs="Calibri" w:eastAsia="Calibri" w:hAnsi="Calibri"/>
                <w:b/>
                <w:bCs/>
                <w:color w:val="222222"/>
                <w:sz w:val="18"/>
                <w:szCs w:val="18"/>
              </w:rPr>
              <w:t xml:space="preserve">Total</w:t>
            </w:r>
          </w:p>
        </w:tc>
        <w:tc>
          <w:tcPr>
            <w:tcW w:type="dxa" w:w="1150"/>
            <w:shd w:fill="E4E9ED" w:color="auto" w:val="clear"/>
            <w:tcMar>
              <w:top w:type="dxa" w:w="70"/>
              <w:left w:type="dxa" w:w="110"/>
              <w:bottom w:type="dxa" w:w="70"/>
              <w:right w:type="dxa" w:w="110"/>
            </w:tcMar>
            <w:vAlign w:val="center"/>
          </w:tcPr>
          <w:p>
            <w:pPr>
              <w:jc w:val="center"/>
            </w:pPr>
            <w:r>
              <w:rPr>
                <w:rFonts w:ascii="Calibri" w:cs="Calibri" w:eastAsia="Calibri" w:hAnsi="Calibri"/>
                <w:b/>
                <w:bCs/>
                <w:color w:val="222222"/>
                <w:sz w:val="18"/>
                <w:szCs w:val="18"/>
              </w:rPr>
              <w:t xml:space="preserve">100%</w:t>
            </w:r>
          </w:p>
        </w:tc>
        <w:tc>
          <w:tcPr>
            <w:tcW w:type="dxa" w:w="1150"/>
            <w:shd w:fill="E4E9ED" w:color="auto" w:val="clear"/>
            <w:tcMar>
              <w:top w:type="dxa" w:w="70"/>
              <w:left w:type="dxa" w:w="110"/>
              <w:bottom w:type="dxa" w:w="70"/>
              <w:right w:type="dxa" w:w="110"/>
            </w:tcMar>
            <w:vAlign w:val="center"/>
          </w:tcPr>
          <w:p>
            <w:pPr>
              <w:jc w:val="center"/>
            </w:pPr>
            <w:r>
              <w:rPr>
                <w:rFonts w:ascii="Calibri" w:cs="Calibri" w:eastAsia="Calibri" w:hAnsi="Calibri"/>
                <w:b/>
                <w:bCs/>
                <w:color w:val="222222"/>
                <w:sz w:val="18"/>
                <w:szCs w:val="18"/>
              </w:rPr>
              <w:t xml:space="preserve">100%</w:t>
            </w:r>
          </w:p>
        </w:tc>
        <w:tc>
          <w:tcPr>
            <w:tcW w:type="dxa" w:w="1150"/>
            <w:shd w:fill="E4E9ED" w:color="auto" w:val="clear"/>
            <w:tcMar>
              <w:top w:type="dxa" w:w="70"/>
              <w:left w:type="dxa" w:w="110"/>
              <w:bottom w:type="dxa" w:w="70"/>
              <w:right w:type="dxa" w:w="110"/>
            </w:tcMar>
            <w:vAlign w:val="center"/>
          </w:tcPr>
          <w:p>
            <w:pPr>
              <w:jc w:val="center"/>
            </w:pPr>
            <w:r>
              <w:rPr>
                <w:rFonts w:ascii="Calibri" w:cs="Calibri" w:eastAsia="Calibri" w:hAnsi="Calibri"/>
                <w:b/>
                <w:bCs/>
                <w:color w:val="222222"/>
                <w:sz w:val="18"/>
                <w:szCs w:val="18"/>
              </w:rPr>
              <w:t xml:space="preserve">100%</w:t>
            </w:r>
          </w:p>
        </w:tc>
        <w:tc>
          <w:tcPr>
            <w:tcW w:type="dxa" w:w="1975"/>
            <w:shd w:fill="E4E9ED" w:color="auto" w:val="clear"/>
            <w:tcMar>
              <w:top w:type="dxa" w:w="70"/>
              <w:left w:type="dxa" w:w="110"/>
              <w:bottom w:type="dxa" w:w="70"/>
              <w:right w:type="dxa" w:w="110"/>
            </w:tcMar>
            <w:vAlign w:val="center"/>
          </w:tcPr>
          <w:p>
            <w:pPr>
              <w:jc w:val="center"/>
            </w:pPr>
            <w:r>
              <w:rPr>
                <w:rFonts w:ascii="Calibri" w:cs="Calibri" w:eastAsia="Calibri" w:hAnsi="Calibri"/>
                <w:b/>
                <w:bCs/>
                <w:color w:val="222222"/>
                <w:sz w:val="18"/>
                <w:szCs w:val="18"/>
              </w:rPr>
              <w:t xml:space="preserve">+1.77</w:t>
            </w:r>
          </w:p>
        </w:tc>
        <w:tc>
          <w:tcPr>
            <w:tcW w:type="dxa" w:w="1975"/>
            <w:shd w:fill="E4E9ED" w:color="auto" w:val="clear"/>
            <w:tcMar>
              <w:top w:type="dxa" w:w="70"/>
              <w:left w:type="dxa" w:w="110"/>
              <w:bottom w:type="dxa" w:w="70"/>
              <w:right w:type="dxa" w:w="110"/>
            </w:tcMar>
            <w:vAlign w:val="center"/>
          </w:tcPr>
          <w:p>
            <w:pPr>
              <w:jc w:val="center"/>
            </w:pPr>
            <w:r>
              <w:rPr>
                <w:rFonts w:ascii="Calibri" w:cs="Calibri" w:eastAsia="Calibri" w:hAnsi="Calibri"/>
                <w:b/>
                <w:bCs/>
                <w:color w:val="222222"/>
                <w:sz w:val="18"/>
                <w:szCs w:val="18"/>
              </w:rPr>
              <w:t xml:space="preserve">+0.55</w:t>
            </w:r>
          </w:p>
        </w:tc>
      </w:tr>
    </w:tbl>
    <w:p>
      <w:pPr>
        <w:spacing w:after="220"/>
      </w:pPr>
      <w:r>
        <w:rPr>
          <w:rFonts w:ascii="Calibri" w:cs="Calibri" w:eastAsia="Calibri" w:hAnsi="Calibri"/>
          <w:i/>
          <w:iCs/>
          <w:color w:val="5B5B5B"/>
          <w:sz w:val="16"/>
          <w:szCs w:val="16"/>
        </w:rPr>
        <w:t xml:space="preserve">Source: RBC Economics shift-share decomposition, ACS microdata.</w:t>
      </w:r>
    </w:p>
    <w:p>
      <w:pPr>
        <w:spacing w:after="160" w:line="288"/>
        <w:jc w:val="left"/>
      </w:pPr>
      <w:r>
        <w:rPr>
          <w:rFonts w:ascii="Calibri" w:cs="Calibri" w:eastAsia="Calibri" w:hAnsi="Calibri"/>
          <w:b w:val="false"/>
          <w:bCs w:val="false"/>
          <w:i w:val="false"/>
          <w:iCs w:val="false"/>
          <w:color w:val="222222"/>
          <w:sz w:val="21"/>
          <w:szCs w:val="21"/>
        </w:rPr>
        <w:t xml:space="preserve">Two things stand out. First, the direction of the compositional effect actually flips between the two periods. From 2006–19, composition contributed +1.8 points to the rise (22% of the total) — mostly because never-married, employed adults, a group with a below-average likelihood of living at home, grew fast enough in sheer numbers to matter, while married adults (also below-average likelihood) shrank as a share. From 2019–24, composition contributed +0.5 points — that is, it leaned toward a higher living-with-parents rate, not a lower one — because the disabled and never-married-employed shares kept growing even as the overall rate fell. Composition was not the source of the 2019–24 decline; propensity had to do all of that work and then some, which is exactly what Section 4 shows.</w:t>
      </w:r>
    </w:p>
    <w:p>
      <w:pPr>
        <w:spacing w:after="160" w:line="288"/>
        <w:jc w:val="left"/>
      </w:pPr>
      <w:r>
        <w:rPr>
          <w:rFonts w:ascii="Calibri" w:cs="Calibri" w:eastAsia="Calibri" w:hAnsi="Calibri"/>
          <w:b w:val="false"/>
          <w:bCs w:val="false"/>
          <w:i w:val="false"/>
          <w:iCs w:val="false"/>
          <w:color w:val="222222"/>
          <w:sz w:val="21"/>
          <w:szCs w:val="21"/>
        </w:rPr>
        <w:t xml:space="preserve">Second, on their own, these compositional shifts explain only a fraction of the total move in either direction: 22% of the rise, and none of the decline. Delayed marriage and extended schooling are real trends, but they are not the reason more 25–35-year-olds have been living at home.</w:t>
      </w:r>
    </w:p>
    <w:p>
      <w:pPr>
        <w:pBdr>
          <w:bottom w:val="single" w:color="C9C9C9" w:sz="4" w:space="4"/>
        </w:pBdr>
        <w:spacing w:after="160" w:before="380"/>
      </w:pPr>
      <w:r>
        <w:rPr>
          <w:rFonts w:ascii="Calibri" w:cs="Calibri" w:eastAsia="Calibri" w:hAnsi="Calibri"/>
          <w:b/>
          <w:bCs/>
          <w:color w:val="1A3A52"/>
          <w:sz w:val="28"/>
          <w:szCs w:val="28"/>
        </w:rPr>
        <w:t xml:space="preserve">4.  Propensity: fiscal and labor conditions, not demographics, are driving this</w:t>
      </w:r>
    </w:p>
    <w:p>
      <w:pPr>
        <w:spacing w:after="160" w:line="288"/>
        <w:jc w:val="left"/>
      </w:pPr>
      <w:r>
        <w:rPr>
          <w:rFonts w:ascii="Calibri" w:cs="Calibri" w:eastAsia="Calibri" w:hAnsi="Calibri"/>
          <w:b w:val="false"/>
          <w:bCs w:val="false"/>
          <w:i w:val="false"/>
          <w:iCs w:val="false"/>
          <w:color w:val="222222"/>
          <w:sz w:val="21"/>
          <w:szCs w:val="21"/>
        </w:rPr>
        <w:t xml:space="preserve">Propensity — how likely people in a given group are to live with a parent, independent of the population mix — explains 71% of the 2006–19 rise (+5.7 points) and more than 100% of the 2019–24 decline (–2.3 points, against a net decline of only –1.9 points, because composition was mildly offsetting it). This is the more important of the two lenses, and it lines up closely with fiscal and labor-market conditions rather than anything structural about who these young adults are.</w:t>
      </w:r>
    </w:p>
    <w:p>
      <w:pPr>
        <w:spacing w:after="40" w:before="60"/>
      </w:pPr>
      <w:r>
        <w:rPr>
          <w:rFonts w:ascii="Calibri" w:cs="Calibri" w:eastAsia="Calibri" w:hAnsi="Calibri"/>
          <w:b/>
          <w:bCs/>
          <w:color w:val="1A3A52"/>
          <w:sz w:val="19"/>
          <w:szCs w:val="19"/>
        </w:rPr>
        <w:t xml:space="preserve">Table 3: Propensity — likelihood of living at home and its contribution to the change</w:t>
      </w:r>
    </w:p>
    <w:tbl>
      <w:tblPr>
        <w:tblW w:type="dxa" w:w="10080"/>
        <w:tblBorders>
          <w:top w:val="single" w:color="C9C9C9" w:sz="2"/>
          <w:left w:val="single" w:color="C9C9C9" w:sz="2"/>
          <w:bottom w:val="single" w:color="C9C9C9" w:sz="2"/>
          <w:right w:val="single" w:color="C9C9C9" w:sz="2"/>
          <w:insideH w:val="single" w:color="C9C9C9" w:sz="2"/>
          <w:insideV w:val="single" w:color="C9C9C9" w:sz="2"/>
        </w:tblBorders>
      </w:tblPr>
      <w:tblGrid>
        <w:gridCol w:w="2680"/>
        <w:gridCol w:w="1150"/>
        <w:gridCol w:w="1150"/>
        <w:gridCol w:w="1150"/>
        <w:gridCol w:w="1975"/>
        <w:gridCol w:w="1975"/>
      </w:tblGrid>
      <w:tr>
        <w:trPr>
          <w:tblHeader/>
        </w:trPr>
        <w:tc>
          <w:tcPr>
            <w:tcW w:type="dxa" w:w="2680"/>
            <w:shd w:fill="1A3A52" w:color="auto"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Archetype</w:t>
            </w:r>
          </w:p>
        </w:tc>
        <w:tc>
          <w:tcPr>
            <w:tcW w:type="dxa" w:w="115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Propensity
2006</w:t>
            </w:r>
          </w:p>
        </w:tc>
        <w:tc>
          <w:tcPr>
            <w:tcW w:type="dxa" w:w="115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Propensity
2019</w:t>
            </w:r>
          </w:p>
        </w:tc>
        <w:tc>
          <w:tcPr>
            <w:tcW w:type="dxa" w:w="115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Propensity
2024</w:t>
            </w:r>
          </w:p>
        </w:tc>
        <w:tc>
          <w:tcPr>
            <w:tcW w:type="dxa" w:w="1975"/>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Propensity effect
2006–19 (pp)</w:t>
            </w:r>
          </w:p>
        </w:tc>
        <w:tc>
          <w:tcPr>
            <w:tcW w:type="dxa" w:w="1975"/>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Propensity effect
2019–24 (pp)</w:t>
            </w:r>
          </w:p>
        </w:tc>
      </w:tr>
      <w:tr>
        <w:tc>
          <w:tcPr>
            <w:tcW w:type="dxa" w:w="268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Never-married, employed</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22.5%</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29.2%</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26.9%</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+1.72</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–0.85</w:t>
            </w:r>
          </w:p>
        </w:tc>
      </w:tr>
      <w:tr>
        <w:tc>
          <w:tcPr>
            <w:tcW w:type="dxa" w:w="2680"/>
            <w:shd w:fill="F7F7F7"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Married</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4.1%</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7.0%</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6.0%</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+1.29</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–0.35</w:t>
            </w:r>
          </w:p>
        </w:tc>
      </w:tr>
      <w:tr>
        <w:tc>
          <w:tcPr>
            <w:tcW w:type="dxa" w:w="268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Never-married, unemployed</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40.4%</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51.9%</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45.4%</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+0.24</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–0.14</w:t>
            </w:r>
          </w:p>
        </w:tc>
      </w:tr>
      <w:tr>
        <w:tc>
          <w:tcPr>
            <w:tcW w:type="dxa" w:w="2680"/>
            <w:shd w:fill="F7F7F7"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In school</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18.8%</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26.9%</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24.5%</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+0.89</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–0.25</w:t>
            </w:r>
          </w:p>
        </w:tc>
      </w:tr>
      <w:tr>
        <w:tc>
          <w:tcPr>
            <w:tcW w:type="dxa" w:w="268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Divorced / separated</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15.5%</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21.7%</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19.2%</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+0.48</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–0.11</w:t>
            </w:r>
          </w:p>
        </w:tc>
      </w:tr>
      <w:tr>
        <w:tc>
          <w:tcPr>
            <w:tcW w:type="dxa" w:w="2680"/>
            <w:shd w:fill="F7F7F7"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Disabled</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27.8%</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38.3%</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30.5%</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+0.67</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–0.52</w:t>
            </w:r>
          </w:p>
        </w:tc>
      </w:tr>
      <w:tr>
        <w:tc>
          <w:tcPr>
            <w:tcW w:type="dxa" w:w="268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Never-married, not in labor force</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32.3%</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45.7%</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44.0%</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+0.39</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–0.07</w:t>
            </w:r>
          </w:p>
        </w:tc>
      </w:tr>
      <w:tr>
        <w:tc>
          <w:tcPr>
            <w:tcW w:type="dxa" w:w="2680"/>
            <w:shd w:fill="F7F7F7"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Recently divorced</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23.1%</w:t>
            </w:r>
          </w:p>
        </w:tc>
        <w:tc>
          <w:tcPr>
            <w:tcW w:type="dxa" w:w="1150"/>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19.4%</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+0.00</w:t>
            </w:r>
          </w:p>
        </w:tc>
        <w:tc>
          <w:tcPr>
            <w:tcW w:type="dxa" w:w="1975"/>
            <w:shd w:fill="F7F7F7"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–0.03</w:t>
            </w:r>
          </w:p>
        </w:tc>
      </w:tr>
      <w:tr>
        <w:tc>
          <w:tcPr>
            <w:tcW w:type="dxa" w:w="268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Other</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16.0%</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24.2%</w:t>
            </w:r>
          </w:p>
        </w:tc>
        <w:tc>
          <w:tcPr>
            <w:tcW w:type="dxa" w:w="115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26.3%</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+0.02</w:t>
            </w:r>
          </w:p>
        </w:tc>
        <w:tc>
          <w:tcPr>
            <w:tcW w:type="dxa" w:w="1975"/>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+0.00</w:t>
            </w:r>
          </w:p>
        </w:tc>
      </w:tr>
      <w:tr>
        <w:tc>
          <w:tcPr>
            <w:tcW w:type="dxa" w:w="2680"/>
            <w:shd w:fill="E4E9ED" w:color="auto" w:val="clear"/>
            <w:tcMar>
              <w:top w:type="dxa" w:w="70"/>
              <w:left w:type="dxa" w:w="110"/>
              <w:bottom w:type="dxa" w:w="70"/>
              <w:right w:type="dxa" w:w="110"/>
            </w:tcMar>
            <w:vAlign w:val="center"/>
          </w:tcPr>
          <w:p>
            <w:pPr>
              <w:jc w:val="left"/>
            </w:pPr>
            <w:r>
              <w:rPr>
                <w:rFonts w:ascii="Calibri" w:cs="Calibri" w:eastAsia="Calibri" w:hAnsi="Calibri"/>
                <w:b/>
                <w:bCs/>
                <w:color w:val="222222"/>
                <w:sz w:val="18"/>
                <w:szCs w:val="18"/>
              </w:rPr>
              <w:t xml:space="preserve">Total effect</w:t>
            </w:r>
          </w:p>
        </w:tc>
        <w:tc>
          <w:tcPr>
            <w:tcW w:type="dxa" w:w="1150"/>
            <w:shd w:fill="E4E9ED" w:color="auto" w:val="clear"/>
            <w:tcMar>
              <w:top w:type="dxa" w:w="70"/>
              <w:left w:type="dxa" w:w="110"/>
              <w:bottom w:type="dxa" w:w="70"/>
              <w:right w:type="dxa" w:w="110"/>
            </w:tcMar>
            <w:vAlign w:val="center"/>
          </w:tcPr>
          <w:p>
            <w:pPr>
              <w:jc w:val="center"/>
            </w:pPr>
            <w:r>
              <w:rPr>
                <w:rFonts w:ascii="Calibri" w:cs="Calibri" w:eastAsia="Calibri" w:hAnsi="Calibri"/>
                <w:b/>
                <w:bCs/>
                <w:color w:val="222222"/>
                <w:sz w:val="18"/>
                <w:szCs w:val="18"/>
              </w:rPr>
              <w:t xml:space="preserve">—</w:t>
            </w:r>
          </w:p>
        </w:tc>
        <w:tc>
          <w:tcPr>
            <w:tcW w:type="dxa" w:w="1150"/>
            <w:shd w:fill="E4E9ED" w:color="auto" w:val="clear"/>
            <w:tcMar>
              <w:top w:type="dxa" w:w="70"/>
              <w:left w:type="dxa" w:w="110"/>
              <w:bottom w:type="dxa" w:w="70"/>
              <w:right w:type="dxa" w:w="110"/>
            </w:tcMar>
            <w:vAlign w:val="center"/>
          </w:tcPr>
          <w:p>
            <w:pPr>
              <w:jc w:val="center"/>
            </w:pPr>
            <w:r>
              <w:rPr>
                <w:rFonts w:ascii="Calibri" w:cs="Calibri" w:eastAsia="Calibri" w:hAnsi="Calibri"/>
                <w:b/>
                <w:bCs/>
                <w:color w:val="222222"/>
                <w:sz w:val="18"/>
                <w:szCs w:val="18"/>
              </w:rPr>
              <w:t xml:space="preserve">—</w:t>
            </w:r>
          </w:p>
        </w:tc>
        <w:tc>
          <w:tcPr>
            <w:tcW w:type="dxa" w:w="1150"/>
            <w:shd w:fill="E4E9ED" w:color="auto" w:val="clear"/>
            <w:tcMar>
              <w:top w:type="dxa" w:w="70"/>
              <w:left w:type="dxa" w:w="110"/>
              <w:bottom w:type="dxa" w:w="70"/>
              <w:right w:type="dxa" w:w="110"/>
            </w:tcMar>
            <w:vAlign w:val="center"/>
          </w:tcPr>
          <w:p>
            <w:pPr>
              <w:jc w:val="center"/>
            </w:pPr>
            <w:r>
              <w:rPr>
                <w:rFonts w:ascii="Calibri" w:cs="Calibri" w:eastAsia="Calibri" w:hAnsi="Calibri"/>
                <w:b/>
                <w:bCs/>
                <w:color w:val="222222"/>
                <w:sz w:val="18"/>
                <w:szCs w:val="18"/>
              </w:rPr>
              <w:t xml:space="preserve">—</w:t>
            </w:r>
          </w:p>
        </w:tc>
        <w:tc>
          <w:tcPr>
            <w:tcW w:type="dxa" w:w="1975"/>
            <w:shd w:fill="E4E9ED" w:color="auto" w:val="clear"/>
            <w:tcMar>
              <w:top w:type="dxa" w:w="70"/>
              <w:left w:type="dxa" w:w="110"/>
              <w:bottom w:type="dxa" w:w="70"/>
              <w:right w:type="dxa" w:w="110"/>
            </w:tcMar>
            <w:vAlign w:val="center"/>
          </w:tcPr>
          <w:p>
            <w:pPr>
              <w:jc w:val="center"/>
            </w:pPr>
            <w:r>
              <w:rPr>
                <w:rFonts w:ascii="Calibri" w:cs="Calibri" w:eastAsia="Calibri" w:hAnsi="Calibri"/>
                <w:b/>
                <w:bCs/>
                <w:color w:val="222222"/>
                <w:sz w:val="18"/>
                <w:szCs w:val="18"/>
              </w:rPr>
              <w:t xml:space="preserve">+5.70</w:t>
            </w:r>
          </w:p>
        </w:tc>
        <w:tc>
          <w:tcPr>
            <w:tcW w:type="dxa" w:w="1975"/>
            <w:shd w:fill="E4E9ED" w:color="auto" w:val="clear"/>
            <w:tcMar>
              <w:top w:type="dxa" w:w="70"/>
              <w:left w:type="dxa" w:w="110"/>
              <w:bottom w:type="dxa" w:w="70"/>
              <w:right w:type="dxa" w:w="110"/>
            </w:tcMar>
            <w:vAlign w:val="center"/>
          </w:tcPr>
          <w:p>
            <w:pPr>
              <w:jc w:val="center"/>
            </w:pPr>
            <w:r>
              <w:rPr>
                <w:rFonts w:ascii="Calibri" w:cs="Calibri" w:eastAsia="Calibri" w:hAnsi="Calibri"/>
                <w:b/>
                <w:bCs/>
                <w:color w:val="222222"/>
                <w:sz w:val="18"/>
                <w:szCs w:val="18"/>
              </w:rPr>
              <w:t xml:space="preserve">–2.30</w:t>
            </w:r>
          </w:p>
        </w:tc>
      </w:tr>
    </w:tbl>
    <w:p>
      <w:pPr>
        <w:spacing w:after="220"/>
      </w:pPr>
      <w:r>
        <w:rPr>
          <w:rFonts w:ascii="Calibri" w:cs="Calibri" w:eastAsia="Calibri" w:hAnsi="Calibri"/>
          <w:i/>
          <w:iCs/>
          <w:color w:val="5B5B5B"/>
          <w:sz w:val="16"/>
          <w:szCs w:val="16"/>
        </w:rPr>
        <w:t xml:space="preserve">Source: RBC Economics shift-share decomposition, ACS microdata.</w:t>
      </w:r>
    </w:p>
    <w:p>
      <w:pPr>
        <w:spacing w:after="100" w:before="220"/>
      </w:pPr>
      <w:r>
        <w:rPr>
          <w:rFonts w:ascii="Calibri" w:cs="Calibri" w:eastAsia="Calibri" w:hAnsi="Calibri"/>
          <w:b/>
          <w:bCs/>
          <w:color w:val="1A3A52"/>
          <w:sz w:val="23"/>
          <w:szCs w:val="23"/>
        </w:rPr>
        <w:t xml:space="preserve">2006–2019: broad-based, propensity-led</w:t>
      </w:r>
    </w:p>
    <w:p>
      <w:pPr>
        <w:spacing w:after="160" w:line="288"/>
        <w:jc w:val="left"/>
      </w:pPr>
      <w:r>
        <w:rPr>
          <w:rFonts w:ascii="Calibri" w:cs="Calibri" w:eastAsia="Calibri" w:hAnsi="Calibri"/>
          <w:b w:val="false"/>
          <w:bCs w:val="false"/>
          <w:i w:val="false"/>
          <w:iCs w:val="false"/>
          <w:color w:val="222222"/>
          <w:sz w:val="21"/>
          <w:szCs w:val="21"/>
        </w:rPr>
        <w:t xml:space="preserve">Every one of the nine groups we track became more likely to live at home over this period. Never-married, employed adults contributed the most in point terms (+1.7 points), followed by married adults (+1.3 points) — notable because marriage itself carries a very low likelihood of living with parents. That breadth, not concentration in one or two groups, is what makes this a behavior story rather than a composition story: even people who had already cleared the traditional markers of independence — a job, a spouse — were more likely to be living with a parent by 2019 than their counterparts were in 2006.</w:t>
      </w:r>
    </w:p>
    <w:p>
      <w:pPr>
        <w:spacing w:after="100" w:before="220"/>
      </w:pPr>
      <w:r>
        <w:rPr>
          <w:rFonts w:ascii="Calibri" w:cs="Calibri" w:eastAsia="Calibri" w:hAnsi="Calibri"/>
          <w:b/>
          <w:bCs/>
          <w:color w:val="1A3A52"/>
          <w:sz w:val="23"/>
          <w:szCs w:val="23"/>
        </w:rPr>
        <w:t xml:space="preserve">2019–2024: broad-based in the other direction, then a stall</w:t>
      </w:r>
    </w:p>
    <w:p>
      <w:pPr>
        <w:spacing w:after="160" w:line="288"/>
        <w:jc w:val="left"/>
      </w:pPr>
      <w:r>
        <w:rPr>
          <w:rFonts w:ascii="Calibri" w:cs="Calibri" w:eastAsia="Calibri" w:hAnsi="Calibri"/>
          <w:b w:val="false"/>
          <w:bCs w:val="false"/>
          <w:i w:val="false"/>
          <w:iCs w:val="false"/>
          <w:color w:val="222222"/>
          <w:sz w:val="21"/>
          <w:szCs w:val="21"/>
        </w:rPr>
        <w:t xml:space="preserve">The propensity decline was similarly widespread — every group's propensity fell except a small “Other” residual — led by never-married, employed adults (–0.85 points) and adults with disabilities (–0.52 points). Pandemic-era fiscal transfers boosted savings among lower earners, a record-tight 2021–23 labor market improved wage bargaining power, and remote work let young adults move away from the expensive metro areas that had kept them near parents.</w:t>
      </w:r>
    </w:p>
    <w:p>
      <w:pPr>
        <w:spacing w:after="100" w:before="220"/>
      </w:pPr>
      <w:r>
        <w:rPr>
          <w:rFonts w:ascii="Calibri" w:cs="Calibri" w:eastAsia="Calibri" w:hAnsi="Calibri"/>
          <w:b/>
          <w:bCs/>
          <w:color w:val="1A3A52"/>
          <w:sz w:val="23"/>
          <w:szCs w:val="23"/>
        </w:rPr>
        <w:t xml:space="preserve">What's happened since 2022: filling in the cyclical data</w:t>
      </w:r>
    </w:p>
    <w:p>
      <w:pPr>
        <w:spacing w:after="160" w:line="288"/>
        <w:jc w:val="left"/>
      </w:pPr>
      <w:r>
        <w:rPr>
          <w:rFonts w:ascii="Calibri" w:cs="Calibri" w:eastAsia="Calibri" w:hAnsi="Calibri"/>
          <w:b w:val="false"/>
          <w:bCs w:val="false"/>
          <w:i w:val="false"/>
          <w:iCs w:val="false"/>
          <w:color w:val="222222"/>
          <w:sz w:val="21"/>
          <w:szCs w:val="21"/>
        </w:rPr>
        <w:t xml:space="preserve">The rate ticked back up from 2022 to 2024, and the three drivers of the 2019–21 decline have each gone into reverse or faded — which is the piece the original draft flagged as needing more detail. Indexed to 2019, here is what the underlying series actually did:</w:t>
      </w:r>
    </w:p>
    <w:p>
      <w:pPr>
        <w:pStyle w:val="ListParagraph"/>
        <w:numPr>
          <w:ilvl w:val="0"/>
          <w:numId w:val="2"/>
        </w:numPr>
        <w:spacing w:after="90" w:line="276"/>
      </w:pPr>
      <w:r>
        <w:rPr>
          <w:rFonts w:ascii="Calibri" w:cs="Calibri" w:eastAsia="Calibri" w:hAnsi="Calibri"/>
          <w:b/>
          <w:bCs/>
          <w:color w:val="1A3A52"/>
          <w:sz w:val="21"/>
          <w:szCs w:val="21"/>
        </w:rPr>
        <w:t xml:space="preserve">Mortgage rates: </w:t>
      </w:r>
      <w:r>
        <w:rPr>
          <w:rFonts w:ascii="Calibri" w:cs="Calibri" w:eastAsia="Calibri" w:hAnsi="Calibri"/>
          <w:color w:val="222222"/>
          <w:sz w:val="21"/>
          <w:szCs w:val="21"/>
        </w:rPr>
        <w:t xml:space="preserve">from a record-low 2.96% average in 2021 to above 8% briefly in late 2023 — the highest reading since 2000 — before settling into a mid-6% range that has now held for several years. The 2026 year-to-date average is 6.35%; the latest weekly reading is 6.65%.</w:t>
      </w:r>
    </w:p>
    <w:p>
      <w:pPr>
        <w:spacing w:after="40" w:before="60"/>
      </w:pPr>
      <w:r>
        <w:rPr>
          <w:rFonts w:ascii="Calibri" w:cs="Calibri" w:eastAsia="Calibri" w:hAnsi="Calibri"/>
          <w:b/>
          <w:bCs/>
          <w:color w:val="1A3A52"/>
          <w:sz w:val="19"/>
          <w:szCs w:val="19"/>
        </w:rPr>
        <w:t xml:space="preserve">Table 4: 30-year fixed mortgage rate, annual average</w:t>
      </w:r>
    </w:p>
    <w:tbl>
      <w:tblPr>
        <w:tblW w:type="dxa" w:w="10080"/>
        <w:tblBorders>
          <w:top w:val="single" w:color="C9C9C9" w:sz="2"/>
          <w:left w:val="single" w:color="C9C9C9" w:sz="2"/>
          <w:bottom w:val="single" w:color="C9C9C9" w:sz="2"/>
          <w:right w:val="single" w:color="C9C9C9" w:sz="2"/>
          <w:insideH w:val="single" w:color="C9C9C9" w:sz="2"/>
          <w:insideV w:val="single" w:color="C9C9C9" w:sz="2"/>
        </w:tblBorders>
      </w:tblPr>
      <w:tblGrid>
        <w:gridCol w:w="1260"/>
        <w:gridCol w:w="1260"/>
        <w:gridCol w:w="1260"/>
        <w:gridCol w:w="1260"/>
        <w:gridCol w:w="1260"/>
        <w:gridCol w:w="1260"/>
        <w:gridCol w:w="1260"/>
        <w:gridCol w:w="1260"/>
      </w:tblGrid>
      <w:tr>
        <w:trPr>
          <w:tblHeader/>
        </w:trPr>
        <w:tc>
          <w:tcPr>
            <w:tcW w:type="dxa" w:w="1260"/>
            <w:shd w:fill="1A3A52" w:color="auto" w:val="clear"/>
            <w:tcMar>
              <w:top w:type="dxa" w:w="90"/>
              <w:left w:type="dxa" w:w="110"/>
              <w:bottom w:type="dxa" w:w="90"/>
              <w:right w:type="dxa" w:w="110"/>
            </w:tcMar>
            <w:vAlign w:val="center"/>
          </w:tcPr>
          <w:p>
            <w:pPr>
              <w:jc w:val="left"/>
            </w:pPr>
            <w:r>
              <w:rPr>
                <w:rFonts w:ascii="Calibri" w:cs="Calibri" w:eastAsia="Calibri" w:hAnsi="Calibri"/>
                <w:b/>
                <w:bCs/>
                <w:color w:val="FFFFFF"/>
                <w:sz w:val="17"/>
                <w:szCs w:val="17"/>
              </w:rPr>
              <w:t xml:space="preserve">2019</w:t>
            </w:r>
          </w:p>
        </w:tc>
        <w:tc>
          <w:tcPr>
            <w:tcW w:type="dxa" w:w="126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2020</w:t>
            </w:r>
          </w:p>
        </w:tc>
        <w:tc>
          <w:tcPr>
            <w:tcW w:type="dxa" w:w="126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2021</w:t>
            </w:r>
          </w:p>
        </w:tc>
        <w:tc>
          <w:tcPr>
            <w:tcW w:type="dxa" w:w="126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2022</w:t>
            </w:r>
          </w:p>
        </w:tc>
        <w:tc>
          <w:tcPr>
            <w:tcW w:type="dxa" w:w="126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2023</w:t>
            </w:r>
          </w:p>
        </w:tc>
        <w:tc>
          <w:tcPr>
            <w:tcW w:type="dxa" w:w="126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2024</w:t>
            </w:r>
          </w:p>
        </w:tc>
        <w:tc>
          <w:tcPr>
            <w:tcW w:type="dxa" w:w="126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2025</w:t>
            </w:r>
          </w:p>
        </w:tc>
        <w:tc>
          <w:tcPr>
            <w:tcW w:type="dxa" w:w="1260"/>
            <w:shd w:fill="1A3A52"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2026 (YTD)</w:t>
            </w:r>
          </w:p>
        </w:tc>
      </w:tr>
      <w:tr>
        <w:tc>
          <w:tcPr>
            <w:tcW w:type="dxa" w:w="1260"/>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18"/>
                <w:szCs w:val="18"/>
              </w:rPr>
              <w:t xml:space="preserve">3.94%</w:t>
            </w:r>
          </w:p>
        </w:tc>
        <w:tc>
          <w:tcPr>
            <w:tcW w:type="dxa" w:w="126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3.11%</w:t>
            </w:r>
          </w:p>
        </w:tc>
        <w:tc>
          <w:tcPr>
            <w:tcW w:type="dxa" w:w="126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2.96%</w:t>
            </w:r>
          </w:p>
        </w:tc>
        <w:tc>
          <w:tcPr>
            <w:tcW w:type="dxa" w:w="126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5.34%</w:t>
            </w:r>
          </w:p>
        </w:tc>
        <w:tc>
          <w:tcPr>
            <w:tcW w:type="dxa" w:w="126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6.81%</w:t>
            </w:r>
          </w:p>
        </w:tc>
        <w:tc>
          <w:tcPr>
            <w:tcW w:type="dxa" w:w="126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6.72%</w:t>
            </w:r>
          </w:p>
        </w:tc>
        <w:tc>
          <w:tcPr>
            <w:tcW w:type="dxa" w:w="126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6.60%</w:t>
            </w:r>
          </w:p>
        </w:tc>
        <w:tc>
          <w:tcPr>
            <w:tcW w:type="dxa" w:w="1260"/>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18"/>
                <w:szCs w:val="18"/>
              </w:rPr>
              <w:t xml:space="preserve">6.35%</w:t>
            </w:r>
          </w:p>
        </w:tc>
      </w:tr>
    </w:tbl>
    <w:p>
      <w:pPr>
        <w:spacing w:after="220"/>
      </w:pPr>
      <w:r>
        <w:rPr>
          <w:rFonts w:ascii="Calibri" w:cs="Calibri" w:eastAsia="Calibri" w:hAnsi="Calibri"/>
          <w:i/>
          <w:iCs/>
          <w:color w:val="5B5B5B"/>
          <w:sz w:val="16"/>
          <w:szCs w:val="16"/>
        </w:rPr>
        <w:t xml:space="preserve">Source: Freddie Mac Primary Mortgage Market Survey.</w:t>
      </w:r>
    </w:p>
    <w:p>
      <w:pPr>
        <w:pStyle w:val="ListParagraph"/>
        <w:numPr>
          <w:ilvl w:val="0"/>
          <w:numId w:val="2"/>
        </w:numPr>
        <w:spacing w:after="90" w:line="276"/>
      </w:pPr>
      <w:r>
        <w:rPr>
          <w:rFonts w:ascii="Calibri" w:cs="Calibri" w:eastAsia="Calibri" w:hAnsi="Calibri"/>
          <w:b/>
          <w:bCs/>
          <w:color w:val="1A3A52"/>
          <w:sz w:val="21"/>
          <w:szCs w:val="21"/>
        </w:rPr>
        <w:t xml:space="preserve">Rents have run well ahead of paychecks: </w:t>
      </w:r>
      <w:r>
        <w:rPr>
          <w:rFonts w:ascii="Calibri" w:cs="Calibri" w:eastAsia="Calibri" w:hAnsi="Calibri"/>
          <w:color w:val="222222"/>
          <w:sz w:val="21"/>
          <w:szCs w:val="21"/>
        </w:rPr>
        <w:t xml:space="preserve">shelter costs are up roughly 38–44% since 2019 depending on the measure, versus about 31% for consumer prices overall and about 35% for nominal median earnings among 25–34-year-olds (Current Population Survey). Deflating those earnings by overall CPI, real income for this age group is up only about 3% cumulatively since 2019 — essentially flat. Renting has gotten more expensive faster than paychecks have grown, even though paychecks have roughly kept pace with headline inflation — this is the “index rents against wages” comparison, and the gap is the point.</w:t>
      </w:r>
    </w:p>
    <w:p>
      <w:pPr>
        <w:spacing w:after="40" w:before="60"/>
      </w:pPr>
      <w:r>
        <w:rPr>
          <w:rFonts w:ascii="Calibri" w:cs="Calibri" w:eastAsia="Calibri" w:hAnsi="Calibri"/>
          <w:b/>
          <w:bCs/>
          <w:color w:val="1A3A52"/>
          <w:sz w:val="19"/>
          <w:szCs w:val="19"/>
        </w:rPr>
        <w:t xml:space="preserve">Exhibit 3: The gap: home prices and rent have outrun paychecks since 2019</w:t>
      </w:r>
    </w:p>
    <w:p>
      <w:pPr>
        <w:spacing w:after="40"/>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33675"/>
                    </a:xfrm>
                    <a:prstGeom prst="rect">
                      <a:avLst/>
                    </a:prstGeom>
                  </pic:spPr>
                </pic:pic>
              </a:graphicData>
            </a:graphic>
          </wp:inline>
        </w:drawing>
      </w:r>
    </w:p>
    <w:p>
      <w:pPr>
        <w:spacing w:after="220"/>
      </w:pPr>
      <w:r>
        <w:rPr>
          <w:rFonts w:ascii="Calibri" w:cs="Calibri" w:eastAsia="Calibri" w:hAnsi="Calibri"/>
          <w:i/>
          <w:iCs/>
          <w:color w:val="5B5B5B"/>
          <w:sz w:val="16"/>
          <w:szCs w:val="16"/>
        </w:rPr>
        <w:t xml:space="preserve">Source: Freddie Mac (PMMS); BLS (CPI, Current Population Survey); NAR; RBC Economics calculations.</w:t>
      </w:r>
    </w:p>
    <w:p>
      <w:pPr>
        <w:spacing w:after="40"/>
      </w:pPr>
    </w:p>
    <w:p>
      <w:pPr>
        <w:pStyle w:val="ListParagraph"/>
        <w:numPr>
          <w:ilvl w:val="0"/>
          <w:numId w:val="2"/>
        </w:numPr>
        <w:spacing w:after="90" w:line="276"/>
      </w:pPr>
      <w:r>
        <w:rPr>
          <w:rFonts w:ascii="Calibri" w:cs="Calibri" w:eastAsia="Calibri" w:hAnsi="Calibri"/>
          <w:b/>
          <w:bCs/>
          <w:color w:val="1A3A52"/>
          <w:sz w:val="21"/>
          <w:szCs w:val="21"/>
        </w:rPr>
        <w:t xml:space="preserve">The entry-level job market has quietly become a real drag: </w:t>
      </w:r>
      <w:r>
        <w:rPr>
          <w:rFonts w:ascii="Calibri" w:cs="Calibri" w:eastAsia="Calibri" w:hAnsi="Calibri"/>
          <w:color w:val="222222"/>
          <w:sz w:val="21"/>
          <w:szCs w:val="21"/>
        </w:rPr>
        <w:t xml:space="preserve">the unemployment rate for recent college graduates (22–27-year-olds with a bachelor's degree, per the New York Fed) sat at 5.6% through the first half of 2026 — up from 3.6% in March 2019 — while the overall unemployment rate has only drifted up to about 4.2% from 3.7% over the same stretch. That is a 2.0-point deterioration for recent grads against a 0.5-point deterioration overall: the entry-level labor market has weakened roughly four times as much as the headline number suggests. The New York Fed attributes about 64% of that increase to the rise of remote work, which has made employers more reluctant to onboard and train fresh graduates on distributed teams — a direct, quantifiable link to the “hybrid work persistence” flagged in Section 1. Recent-grad underemployment (working in a role that doesn't require a degree) runs near 42%.</w:t>
      </w:r>
    </w:p>
    <w:p>
      <w:pPr>
        <w:spacing w:after="160" w:line="288"/>
        <w:jc w:val="left"/>
      </w:pPr>
      <w:r>
        <w:rPr>
          <w:rFonts w:ascii="Calibri" w:cs="Calibri" w:eastAsia="Calibri" w:hAnsi="Calibri"/>
          <w:b w:val="false"/>
          <w:bCs w:val="false"/>
          <w:i w:val="false"/>
          <w:iCs w:val="false"/>
          <w:color w:val="222222"/>
          <w:sz w:val="21"/>
          <w:szCs w:val="21"/>
        </w:rPr>
        <w:t xml:space="preserve">Put together, the propensity decline stalled because the two channels that drove it — cheap financing and a strong entry-level labor market — both reversed, while the fiscal-transfer channel, which never did as much of the work to begin with, simply faded on schedule.</w:t>
      </w:r>
    </w:p>
    <w:p>
      <w:pPr>
        <w:pBdr>
          <w:bottom w:val="single" w:color="C9C9C9" w:sz="4" w:space="4"/>
        </w:pBdr>
        <w:spacing w:after="160" w:before="380"/>
      </w:pPr>
      <w:r>
        <w:rPr>
          <w:rFonts w:ascii="Calibri" w:cs="Calibri" w:eastAsia="Calibri" w:hAnsi="Calibri"/>
          <w:b/>
          <w:bCs/>
          <w:color w:val="1A3A52"/>
          <w:sz w:val="28"/>
          <w:szCs w:val="28"/>
        </w:rPr>
        <w:t xml:space="preserve">5.  Mortgage affordability and the rent-vs-own decision</w:t>
      </w:r>
    </w:p>
    <w:tbl>
      <w:tblPr>
        <w:tblW w:type="dxa" w:w="10080"/>
        <w:tblBorders>
          <w:top w:val="dashed" w:color="C9C9C9" w:sz="6"/>
          <w:left w:val="dashed" w:color="C9C9C9" w:sz="6"/>
          <w:bottom w:val="dashed" w:color="C9C9C9" w:sz="6"/>
          <w:right w:val="dashed" w:color="C9C9C9" w:sz="6"/>
          <w:insideH w:val="none" w:color="FFFFFF" w:sz="0"/>
          <w:insideV w:val="none" w:color="FFFFFF" w:sz="0"/>
        </w:tblBorders>
      </w:tblPr>
      <w:tblGrid>
        <w:gridCol w:w="10080"/>
      </w:tblGrid>
      <w:tr>
        <w:tc>
          <w:tcPr>
            <w:tcW w:type="dxa" w:w="10080"/>
            <w:shd w:fill="FCFCFC" w:color="auto" w:val="clear"/>
            <w:tcMar>
              <w:top w:type="dxa" w:w="260"/>
              <w:left w:type="dxa" w:w="260"/>
              <w:bottom w:type="dxa" w:w="220"/>
              <w:right w:type="dxa" w:w="260"/>
            </w:tcMar>
            <w:vAlign w:val="center"/>
          </w:tcPr>
          <w:p>
            <w:pPr>
              <w:spacing w:after="60"/>
              <w:jc w:val="center"/>
            </w:pPr>
            <w:r>
              <w:rPr>
                <w:rFonts w:ascii="Calibri" w:cs="Calibri" w:eastAsia="Calibri" w:hAnsi="Calibri"/>
                <w:b/>
                <w:bCs/>
                <w:caps/>
                <w:color w:val="5B5B5B"/>
                <w:spacing w:val="10"/>
                <w:sz w:val="17"/>
                <w:szCs w:val="17"/>
              </w:rPr>
              <w:t xml:space="preserve">EXHIBIT 4</w:t>
            </w:r>
          </w:p>
          <w:p>
            <w:pPr>
              <w:spacing w:after="100"/>
              <w:jc w:val="center"/>
            </w:pPr>
            <w:r>
              <w:rPr>
                <w:rFonts w:ascii="Calibri" w:cs="Calibri" w:eastAsia="Calibri" w:hAnsi="Calibri"/>
                <w:b/>
                <w:bCs/>
                <w:color w:val="1A3A52"/>
                <w:sz w:val="21"/>
                <w:szCs w:val="21"/>
              </w:rPr>
              <w:t xml:space="preserve">Mortgage affordability remains stretched by historical standards</w:t>
            </w:r>
          </w:p>
          <w:p>
            <w:pPr>
              <w:spacing w:after="100"/>
              <w:jc w:val="center"/>
            </w:pPr>
            <w:r>
              <w:rPr>
                <w:rFonts w:ascii="Calibri" w:cs="Calibri" w:eastAsia="Calibri" w:hAnsi="Calibri"/>
                <w:i/>
                <w:iCs/>
                <w:color w:val="999999"/>
                <w:sz w:val="19"/>
                <w:szCs w:val="19"/>
              </w:rPr>
              <w:t xml:space="preserve">[ paste existing chart here ]</w:t>
            </w:r>
          </w:p>
          <w:p>
            <w:pPr>
              <w:spacing w:after="0"/>
              <w:jc w:val="center"/>
            </w:pPr>
            <w:r>
              <w:rPr>
                <w:rFonts w:ascii="Calibri" w:cs="Calibri" w:eastAsia="Calibri" w:hAnsi="Calibri"/>
                <w:i/>
                <w:iCs/>
                <w:color w:val="5B5B5B"/>
                <w:sz w:val="16"/>
                <w:szCs w:val="16"/>
              </w:rPr>
              <w:t xml:space="preserve">Source: RBC Economics.</w:t>
            </w:r>
          </w:p>
        </w:tc>
      </w:tr>
    </w:tbl>
    <w:p>
      <w:pPr>
        <w:spacing w:after="60"/>
      </w:pPr>
    </w:p>
    <w:p>
      <w:pPr>
        <w:spacing w:after="160" w:line="288"/>
        <w:jc w:val="left"/>
      </w:pPr>
      <w:r>
        <w:rPr>
          <w:rFonts w:ascii="Calibri" w:cs="Calibri" w:eastAsia="Calibri" w:hAnsi="Calibri"/>
          <w:b w:val="false"/>
          <w:bCs w:val="false"/>
          <w:i w:val="false"/>
          <w:iCs w:val="false"/>
          <w:color w:val="222222"/>
          <w:sz w:val="21"/>
          <w:szCs w:val="21"/>
        </w:rPr>
        <w:t xml:space="preserve">The National Association of Realtors puts the typical mortgage payment at 23.8% of family income as of the second quarter of 2026 — down from 25.5% a year earlier as rates eased modestly, but still elevated — and closer to 36% of income for first-time buyers specifically, who are disproportionately drawn from this age group.</w:t>
      </w:r>
    </w:p>
    <w:p>
      <w:pPr>
        <w:spacing w:after="160" w:line="288"/>
        <w:jc w:val="left"/>
      </w:pPr>
      <w:r>
        <w:rPr>
          <w:rFonts w:ascii="Calibri" w:cs="Calibri" w:eastAsia="Calibri" w:hAnsi="Calibri"/>
          <w:b w:val="false"/>
          <w:bCs w:val="false"/>
          <w:i w:val="false"/>
          <w:iCs w:val="false"/>
          <w:color w:val="222222"/>
          <w:sz w:val="21"/>
          <w:szCs w:val="21"/>
        </w:rPr>
        <w:t xml:space="preserve">That financing hurdle shows up directly in the homeownership numbers. The under-35 homeownership rate was 35.2% in the second quarter of 2026, down 1.2 points from a year earlier and down 5.4 points from its 2020–21 cycle high of 40.6%, when rates briefly fell below 3%. The overall U.S. homeownership rate (65.0%) tells a similar, if less dramatic, story: it sits below its 25-year average and well below the 2004 bubble peak.</w:t>
      </w:r>
    </w:p>
    <w:tbl>
      <w:tblPr>
        <w:tblW w:type="dxa" w:w="10080"/>
        <w:tblBorders>
          <w:top w:val="dashed" w:color="C9C9C9" w:sz="6"/>
          <w:left w:val="dashed" w:color="C9C9C9" w:sz="6"/>
          <w:bottom w:val="dashed" w:color="C9C9C9" w:sz="6"/>
          <w:right w:val="dashed" w:color="C9C9C9" w:sz="6"/>
          <w:insideH w:val="none" w:color="FFFFFF" w:sz="0"/>
          <w:insideV w:val="none" w:color="FFFFFF" w:sz="0"/>
        </w:tblBorders>
      </w:tblPr>
      <w:tblGrid>
        <w:gridCol w:w="10080"/>
      </w:tblGrid>
      <w:tr>
        <w:tc>
          <w:tcPr>
            <w:tcW w:type="dxa" w:w="10080"/>
            <w:shd w:fill="FCFCFC" w:color="auto" w:val="clear"/>
            <w:tcMar>
              <w:top w:type="dxa" w:w="260"/>
              <w:left w:type="dxa" w:w="260"/>
              <w:bottom w:type="dxa" w:w="220"/>
              <w:right w:type="dxa" w:w="260"/>
            </w:tcMar>
            <w:vAlign w:val="center"/>
          </w:tcPr>
          <w:p>
            <w:pPr>
              <w:spacing w:after="60"/>
              <w:jc w:val="center"/>
            </w:pPr>
            <w:r>
              <w:rPr>
                <w:rFonts w:ascii="Calibri" w:cs="Calibri" w:eastAsia="Calibri" w:hAnsi="Calibri"/>
                <w:b/>
                <w:bCs/>
                <w:caps/>
                <w:color w:val="5B5B5B"/>
                <w:spacing w:val="10"/>
                <w:sz w:val="17"/>
                <w:szCs w:val="17"/>
              </w:rPr>
              <w:t xml:space="preserve">EXHIBIT 5</w:t>
            </w:r>
          </w:p>
          <w:p>
            <w:pPr>
              <w:spacing w:after="100"/>
              <w:jc w:val="center"/>
            </w:pPr>
            <w:r>
              <w:rPr>
                <w:rFonts w:ascii="Calibri" w:cs="Calibri" w:eastAsia="Calibri" w:hAnsi="Calibri"/>
                <w:b/>
                <w:bCs/>
                <w:color w:val="1A3A52"/>
                <w:sz w:val="21"/>
                <w:szCs w:val="21"/>
              </w:rPr>
              <w:t xml:space="preserve">Homeownership rate remains below its pre-bubble norm</w:t>
            </w:r>
          </w:p>
          <w:p>
            <w:pPr>
              <w:spacing w:after="100"/>
              <w:jc w:val="center"/>
            </w:pPr>
            <w:r>
              <w:rPr>
                <w:rFonts w:ascii="Calibri" w:cs="Calibri" w:eastAsia="Calibri" w:hAnsi="Calibri"/>
                <w:i/>
                <w:iCs/>
                <w:color w:val="999999"/>
                <w:sz w:val="19"/>
                <w:szCs w:val="19"/>
              </w:rPr>
              <w:t xml:space="preserve">[ paste existing chart here ]</w:t>
            </w:r>
          </w:p>
          <w:p>
            <w:pPr>
              <w:spacing w:after="0"/>
              <w:jc w:val="center"/>
            </w:pPr>
            <w:r>
              <w:rPr>
                <w:rFonts w:ascii="Calibri" w:cs="Calibri" w:eastAsia="Calibri" w:hAnsi="Calibri"/>
                <w:i/>
                <w:iCs/>
                <w:color w:val="5B5B5B"/>
                <w:sz w:val="16"/>
                <w:szCs w:val="16"/>
              </w:rPr>
              <w:t xml:space="preserve">Source: RBC Economics.</w:t>
            </w:r>
          </w:p>
        </w:tc>
      </w:tr>
    </w:tbl>
    <w:p>
      <w:pPr>
        <w:spacing w:after="60"/>
      </w:pPr>
    </w:p>
    <w:p>
      <w:pPr>
        <w:spacing w:after="100" w:before="220"/>
      </w:pPr>
      <w:r>
        <w:rPr>
          <w:rFonts w:ascii="Calibri" w:cs="Calibri" w:eastAsia="Calibri" w:hAnsi="Calibri"/>
          <w:b/>
          <w:bCs/>
          <w:color w:val="1A3A52"/>
          <w:sz w:val="23"/>
          <w:szCs w:val="23"/>
        </w:rPr>
        <w:t xml:space="preserve">What would “best case” look like for ownership rates?</w:t>
      </w:r>
    </w:p>
    <w:p>
      <w:pPr>
        <w:spacing w:after="160" w:line="288"/>
        <w:jc w:val="left"/>
      </w:pPr>
      <w:r>
        <w:rPr>
          <w:rFonts w:ascii="Calibri" w:cs="Calibri" w:eastAsia="Calibri" w:hAnsi="Calibri"/>
          <w:b w:val="false"/>
          <w:bCs w:val="false"/>
          <w:i w:val="false"/>
          <w:iCs w:val="false"/>
          <w:color w:val="222222"/>
          <w:sz w:val="21"/>
          <w:szCs w:val="21"/>
        </w:rPr>
        <w:t xml:space="preserve">A full round-trip back to the 2020–21 cycle high (40.6%) would likely require mortgage rates well below today's mid-6% range — an optimistic scenario, not a base case. A more modest recovery — rates drifting back toward the high-4%/low-5% range last seen in 2018–19, alongside continued real income gains — could plausibly claw back 2–3 of the 5.4 points given up since the cycle high over the next few years, without requiring anything close to 2021-style financing conditions.</w:t>
      </w:r>
    </w:p>
    <w:p>
      <w:pPr>
        <w:spacing w:after="160" w:line="288"/>
        <w:jc w:val="left"/>
      </w:pPr>
      <w:r>
        <w:rPr>
          <w:rFonts w:ascii="Calibri" w:cs="Calibri" w:eastAsia="Calibri" w:hAnsi="Calibri"/>
          <w:b w:val="false"/>
          <w:bCs w:val="false"/>
          <w:i w:val="false"/>
          <w:iCs w:val="false"/>
          <w:color w:val="222222"/>
          <w:sz w:val="21"/>
          <w:szCs w:val="21"/>
        </w:rPr>
        <w:t xml:space="preserve">Until that happens, the financing hurdle to buying remains a meaningful reason this cohort skews toward renting once it does leave home. Nationally, rental households accounted for roughly 80% of all net new household formation in 2025 (898,000 new renter households versus 234,000 new owner households) — the widest gap in years.</w:t>
      </w:r>
    </w:p>
    <w:tbl>
      <w:tblPr>
        <w:tblW w:type="dxa" w:w="10080"/>
        <w:tblBorders>
          <w:top w:val="dashed" w:color="C9C9C9" w:sz="6"/>
          <w:left w:val="dashed" w:color="C9C9C9" w:sz="6"/>
          <w:bottom w:val="dashed" w:color="C9C9C9" w:sz="6"/>
          <w:right w:val="dashed" w:color="C9C9C9" w:sz="6"/>
          <w:insideH w:val="none" w:color="FFFFFF" w:sz="0"/>
          <w:insideV w:val="none" w:color="FFFFFF" w:sz="0"/>
        </w:tblBorders>
      </w:tblPr>
      <w:tblGrid>
        <w:gridCol w:w="10080"/>
      </w:tblGrid>
      <w:tr>
        <w:tc>
          <w:tcPr>
            <w:tcW w:type="dxa" w:w="10080"/>
            <w:shd w:fill="FCFCFC" w:color="auto" w:val="clear"/>
            <w:tcMar>
              <w:top w:type="dxa" w:w="260"/>
              <w:left w:type="dxa" w:w="260"/>
              <w:bottom w:type="dxa" w:w="220"/>
              <w:right w:type="dxa" w:w="260"/>
            </w:tcMar>
            <w:vAlign w:val="center"/>
          </w:tcPr>
          <w:p>
            <w:pPr>
              <w:spacing w:after="60"/>
              <w:jc w:val="center"/>
            </w:pPr>
            <w:r>
              <w:rPr>
                <w:rFonts w:ascii="Calibri" w:cs="Calibri" w:eastAsia="Calibri" w:hAnsi="Calibri"/>
                <w:b/>
                <w:bCs/>
                <w:caps/>
                <w:color w:val="5B5B5B"/>
                <w:spacing w:val="10"/>
                <w:sz w:val="17"/>
                <w:szCs w:val="17"/>
              </w:rPr>
              <w:t xml:space="preserve">EXHIBIT 6</w:t>
            </w:r>
          </w:p>
          <w:p>
            <w:pPr>
              <w:spacing w:after="100"/>
              <w:jc w:val="center"/>
            </w:pPr>
            <w:r>
              <w:rPr>
                <w:rFonts w:ascii="Calibri" w:cs="Calibri" w:eastAsia="Calibri" w:hAnsi="Calibri"/>
                <w:b/>
                <w:bCs/>
                <w:color w:val="1A3A52"/>
                <w:sz w:val="21"/>
                <w:szCs w:val="21"/>
              </w:rPr>
              <w:t xml:space="preserve">Rental household growth has been outpacing owner-occupied formation</w:t>
            </w:r>
          </w:p>
          <w:p>
            <w:pPr>
              <w:spacing w:after="100"/>
              <w:jc w:val="center"/>
            </w:pPr>
            <w:r>
              <w:rPr>
                <w:rFonts w:ascii="Calibri" w:cs="Calibri" w:eastAsia="Calibri" w:hAnsi="Calibri"/>
                <w:i/>
                <w:iCs/>
                <w:color w:val="999999"/>
                <w:sz w:val="19"/>
                <w:szCs w:val="19"/>
              </w:rPr>
              <w:t xml:space="preserve">[ paste existing chart here ]</w:t>
            </w:r>
          </w:p>
          <w:p>
            <w:pPr>
              <w:spacing w:after="0"/>
              <w:jc w:val="center"/>
            </w:pPr>
            <w:r>
              <w:rPr>
                <w:rFonts w:ascii="Calibri" w:cs="Calibri" w:eastAsia="Calibri" w:hAnsi="Calibri"/>
                <w:i/>
                <w:iCs/>
                <w:color w:val="5B5B5B"/>
                <w:sz w:val="16"/>
                <w:szCs w:val="16"/>
              </w:rPr>
              <w:t xml:space="preserve">Source: RBC Economics.</w:t>
            </w:r>
          </w:p>
        </w:tc>
      </w:tr>
    </w:tbl>
    <w:p>
      <w:pPr>
        <w:pBdr>
          <w:bottom w:val="single" w:color="C9C9C9" w:sz="4" w:space="4"/>
        </w:pBdr>
        <w:spacing w:after="160" w:before="380"/>
      </w:pPr>
      <w:r>
        <w:rPr>
          <w:rFonts w:ascii="Calibri" w:cs="Calibri" w:eastAsia="Calibri" w:hAnsi="Calibri"/>
          <w:b/>
          <w:bCs/>
          <w:color w:val="1A3A52"/>
          <w:sz w:val="28"/>
          <w:szCs w:val="28"/>
        </w:rPr>
        <w:t xml:space="preserve">6.  What this means for housing demand</w:t>
      </w:r>
    </w:p>
    <w:p>
      <w:pPr>
        <w:spacing w:after="160" w:line="288"/>
        <w:jc w:val="left"/>
      </w:pPr>
      <w:r>
        <w:rPr>
          <w:rFonts w:ascii="Calibri" w:cs="Calibri" w:eastAsia="Calibri" w:hAnsi="Calibri"/>
          <w:b w:val="false"/>
          <w:bCs w:val="false"/>
          <w:i w:val="false"/>
          <w:iCs w:val="false"/>
          <w:color w:val="222222"/>
          <w:sz w:val="21"/>
          <w:szCs w:val="21"/>
        </w:rPr>
        <w:t xml:space="preserve">For the housing market, the household-formation story nets out to three points: the pool of pent-up demand is real but not huge; it is overwhelmingly rental rather than ownership demand; and the swing factor to watch from here is the entry-level labor market and mortgage rates — not demographics.</w:t>
      </w:r>
    </w:p>
    <w:p>
      <w:pPr>
        <w:spacing w:after="160" w:line="288"/>
        <w:jc w:val="left"/>
      </w:pPr>
      <w:r>
        <w:rPr>
          <w:rFonts w:ascii="Calibri" w:cs="Calibri" w:eastAsia="Calibri" w:hAnsi="Calibri"/>
          <w:b w:val="false"/>
          <w:bCs w:val="false"/>
          <w:i w:val="false"/>
          <w:iCs w:val="false"/>
          <w:color w:val="222222"/>
          <w:sz w:val="21"/>
          <w:szCs w:val="21"/>
        </w:rPr>
        <w:t xml:space="preserve">To put rough numbers on it, we make a handful of explicit assumptions below — the point is to bound a plausible range, not to pin down a forecast.</w:t>
      </w:r>
    </w:p>
    <w:p>
      <w:pPr>
        <w:pStyle w:val="ListParagraph"/>
        <w:numPr>
          <w:ilvl w:val="0"/>
          <w:numId w:val="2"/>
        </w:numPr>
        <w:spacing w:after="90" w:line="276"/>
      </w:pPr>
      <w:r>
        <w:rPr>
          <w:rFonts w:ascii="Calibri" w:cs="Calibri" w:eastAsia="Calibri" w:hAnsi="Calibri"/>
          <w:b/>
          <w:bCs/>
          <w:color w:val="1A3A52"/>
          <w:sz w:val="21"/>
          <w:szCs w:val="21"/>
        </w:rPr>
        <w:t xml:space="preserve">Sizing the stock. </w:t>
      </w:r>
      <w:r>
        <w:rPr>
          <w:rFonts w:ascii="Calibri" w:cs="Calibri" w:eastAsia="Calibri" w:hAnsi="Calibri"/>
          <w:color w:val="222222"/>
          <w:sz w:val="21"/>
          <w:szCs w:val="21"/>
        </w:rPr>
        <w:t xml:space="preserve">The 25–35 population is roughly 50 million. At a 22% living-with-parents share, that is about 11 million people currently at home, and roughly 39 million already living independently.</w:t>
      </w:r>
    </w:p>
    <w:p>
      <w:pPr>
        <w:pStyle w:val="ListParagraph"/>
        <w:numPr>
          <w:ilvl w:val="0"/>
          <w:numId w:val="2"/>
        </w:numPr>
        <w:spacing w:after="90" w:line="276"/>
      </w:pPr>
      <w:r>
        <w:rPr>
          <w:rFonts w:ascii="Calibri" w:cs="Calibri" w:eastAsia="Calibri" w:hAnsi="Calibri"/>
          <w:b/>
          <w:bCs/>
          <w:color w:val="1A3A52"/>
          <w:sz w:val="21"/>
          <w:szCs w:val="21"/>
        </w:rPr>
        <w:t xml:space="preserve">A reversion scenario. </w:t>
      </w:r>
      <w:r>
        <w:rPr>
          <w:rFonts w:ascii="Calibri" w:cs="Calibri" w:eastAsia="Calibri" w:hAnsi="Calibri"/>
          <w:color w:val="222222"/>
          <w:sz w:val="21"/>
          <w:szCs w:val="21"/>
        </w:rPr>
        <w:t xml:space="preserve">Each 1-point move in the living-with-parents share is worth roughly 500,000 people. If the entry-level labor market normalizes enough to pull the share down another 1–2 points from here — a plausible, not aggressive, assumption given the size of the current entry-level unemployment gap — that is 500,000–1,000,000 people potentially forming or joining a household. Assuming 1.5–1.7 people per newly formed household (a mix of singles and couples), that is roughly 300,000–675,000 incremental households, phased in over several years rather than arriving all at once.</w:t>
      </w:r>
    </w:p>
    <w:p>
      <w:pPr>
        <w:pStyle w:val="ListParagraph"/>
        <w:numPr>
          <w:ilvl w:val="0"/>
          <w:numId w:val="2"/>
        </w:numPr>
        <w:spacing w:after="90" w:line="276"/>
      </w:pPr>
      <w:r>
        <w:rPr>
          <w:rFonts w:ascii="Calibri" w:cs="Calibri" w:eastAsia="Calibri" w:hAnsi="Calibri"/>
          <w:b/>
          <w:bCs/>
          <w:color w:val="1A3A52"/>
          <w:sz w:val="21"/>
          <w:szCs w:val="21"/>
        </w:rPr>
        <w:t xml:space="preserve">Tenure mix. </w:t>
      </w:r>
      <w:r>
        <w:rPr>
          <w:rFonts w:ascii="Calibri" w:cs="Calibri" w:eastAsia="Calibri" w:hAnsi="Calibri"/>
          <w:color w:val="222222"/>
          <w:sz w:val="21"/>
          <w:szCs w:val="21"/>
        </w:rPr>
        <w:t xml:space="preserve">Applying 2025's actual formation split (~79% renter, ~21% owner) to that range implies roughly 235,000–535,000 incremental rental units and 60,000–140,000 incremental owner-occupied units. If financing conditions improve enough to shift the mix toward, say, 60/40 rent-to-own, the owner-occupied share of that same household range roughly doubles to 120,000–270,000 units — the clearest channel by which lower rates would show up in the ownership market specifically, rather than in rentals.</w:t>
      </w:r>
    </w:p>
    <w:p>
      <w:pPr>
        <w:pStyle w:val="ListParagraph"/>
        <w:numPr>
          <w:ilvl w:val="0"/>
          <w:numId w:val="2"/>
        </w:numPr>
        <w:spacing w:after="90" w:line="276"/>
      </w:pPr>
      <w:r>
        <w:rPr>
          <w:rFonts w:ascii="Calibri" w:cs="Calibri" w:eastAsia="Calibri" w:hAnsi="Calibri"/>
          <w:b/>
          <w:bCs/>
          <w:color w:val="1A3A52"/>
          <w:sz w:val="21"/>
          <w:szCs w:val="21"/>
        </w:rPr>
        <w:t xml:space="preserve">Scale check. </w:t>
      </w:r>
      <w:r>
        <w:rPr>
          <w:rFonts w:ascii="Calibri" w:cs="Calibri" w:eastAsia="Calibri" w:hAnsi="Calibri"/>
          <w:color w:val="222222"/>
          <w:sz w:val="21"/>
          <w:szCs w:val="21"/>
        </w:rPr>
        <w:t xml:space="preserve">Phased over four years, that is on the order of 75,000–170,000 households a year — against a current pace of roughly 1.3–1.5 million total housing completions annually. Even the higher end of our range is a modest, mid-single-digit-to-low-double-digit percentage of one year's completions, which is the core reason we do not read this as a coiled spring: incremental formation from here is far more likely to track income growth and housing completions than to arrive as a discrete wave.</w:t>
      </w:r>
    </w:p>
    <w:p>
      <w:pPr>
        <w:spacing w:after="160" w:line="288"/>
        <w:jc w:val="left"/>
      </w:pPr>
      <w:r>
        <w:rPr>
          <w:rFonts w:ascii="Calibri" w:cs="Calibri" w:eastAsia="Calibri" w:hAnsi="Calibri"/>
          <w:b w:val="false"/>
          <w:bCs w:val="false"/>
          <w:i w:val="false"/>
          <w:iCs w:val="false"/>
          <w:color w:val="222222"/>
          <w:sz w:val="21"/>
          <w:szCs w:val="21"/>
        </w:rPr>
        <w:t xml:space="preserve">Directionally, that points to: a homeownership rate for this cohort that grinds higher only gradually, and only if mortgage rates fall meaningfully from here; a rental-vs-owner split that stays skewed toward rental for the foreseeable future; and a living-with-parents share that behaves like a durable plateau — sticky against the cyclical drivers that pulled it down from 2019 (savings, a tight labor market, remote work), but also sticky against a full retracement to its 2017–19 peak, given that Census projections show this age cohort's population growth flattening by 2030 and turning negative by 2035.</w:t>
      </w:r>
    </w:p>
    <w:p>
      <w:pPr>
        <w:pBdr>
          <w:bottom w:val="single" w:color="C9C9C9" w:sz="4" w:space="4"/>
        </w:pBdr>
        <w:spacing w:after="160" w:before="380"/>
      </w:pPr>
      <w:r>
        <w:rPr>
          <w:rFonts w:ascii="Calibri" w:cs="Calibri" w:eastAsia="Calibri" w:hAnsi="Calibri"/>
          <w:b/>
          <w:bCs/>
          <w:color w:val="1A3A52"/>
          <w:sz w:val="28"/>
          <w:szCs w:val="28"/>
        </w:rPr>
        <w:t xml:space="preserve">7.  Housing-shortage model cross-check</w:t>
      </w:r>
    </w:p>
    <w:tbl>
      <w:tblPr>
        <w:tblW w:type="dxa" w:w="10080"/>
        <w:tblBorders>
          <w:top w:val="dashed" w:color="C9C9C9" w:sz="6"/>
          <w:left w:val="dashed" w:color="C9C9C9" w:sz="6"/>
          <w:bottom w:val="dashed" w:color="C9C9C9" w:sz="6"/>
          <w:right w:val="dashed" w:color="C9C9C9" w:sz="6"/>
          <w:insideH w:val="none" w:color="FFFFFF" w:sz="0"/>
          <w:insideV w:val="none" w:color="FFFFFF" w:sz="0"/>
        </w:tblBorders>
      </w:tblPr>
      <w:tblGrid>
        <w:gridCol w:w="10080"/>
      </w:tblGrid>
      <w:tr>
        <w:tc>
          <w:tcPr>
            <w:tcW w:type="dxa" w:w="10080"/>
            <w:shd w:fill="FCFCFC" w:color="auto" w:val="clear"/>
            <w:tcMar>
              <w:top w:type="dxa" w:w="200"/>
              <w:left w:type="dxa" w:w="260"/>
              <w:bottom w:type="dxa" w:w="200"/>
              <w:right w:type="dxa" w:w="260"/>
            </w:tcMar>
          </w:tcPr>
          <w:p>
            <w:pPr>
              <w:spacing w:after="60"/>
            </w:pPr>
            <w:r>
              <w:rPr>
                <w:rFonts w:ascii="Calibri" w:cs="Calibri" w:eastAsia="Calibri" w:hAnsi="Calibri"/>
                <w:b/>
                <w:bCs/>
                <w:color w:val="888888"/>
                <w:spacing w:val="8"/>
                <w:sz w:val="18"/>
                <w:szCs w:val="18"/>
              </w:rPr>
              <w:t xml:space="preserve">TO BE COMPLETED BY AUTHOR</w:t>
            </w:r>
          </w:p>
          <w:p>
            <w:pPr>
              <w:spacing w:after="0" w:line="276"/>
            </w:pPr>
            <w:r>
              <w:rPr>
                <w:rFonts w:ascii="Calibri" w:cs="Calibri" w:eastAsia="Calibri" w:hAnsi="Calibri"/>
                <w:i/>
                <w:iCs/>
                <w:color w:val="777777"/>
                <w:sz w:val="20"/>
                <w:szCs w:val="20"/>
              </w:rPr>
              <w:t xml:space="preserve">Insert the output of the internal housing-shortage / unit-demand model here — plot the modeled shortage against prices, and use the demand ranges from Section 6 as an input to infer the incremental shortage implied by this cohort's formation.</w:t>
            </w:r>
          </w:p>
        </w:tc>
      </w:tr>
    </w:tbl>
    <w:p>
      <w:pPr>
        <w:spacing w:after="160"/>
      </w:pPr>
    </w:p>
    <w:p>
      <w:pPr>
        <w:pBdr>
          <w:top w:val="single" w:color="C9C9C9" w:sz="4" w:space="8"/>
        </w:pBdr>
        <w:spacing w:after="80" w:before="120"/>
      </w:pPr>
      <w:r>
        <w:rPr>
          <w:rFonts w:ascii="Calibri" w:cs="Calibri" w:eastAsia="Calibri" w:hAnsi="Calibri"/>
          <w:b/>
          <w:bCs/>
          <w:color w:val="5B5B5B"/>
          <w:spacing w:val="8"/>
          <w:sz w:val="17"/>
          <w:szCs w:val="17"/>
        </w:rPr>
        <w:t xml:space="preserve">METHODOLOGY &amp; ASSUMPTIONS</w:t>
      </w:r>
    </w:p>
    <w:p>
      <w:pPr>
        <w:pStyle w:val="ListParagraph"/>
        <w:numPr>
          <w:ilvl w:val="0"/>
          <w:numId w:val="2"/>
        </w:numPr>
        <w:spacing w:after="60" w:line="264"/>
      </w:pPr>
      <w:r>
        <w:rPr>
          <w:rFonts w:ascii="Calibri" w:cs="Calibri" w:eastAsia="Calibri" w:hAnsi="Calibri"/>
          <w:color w:val="5B5B5B"/>
          <w:sz w:val="17"/>
          <w:szCs w:val="17"/>
        </w:rPr>
        <w:t xml:space="preserve">Population: the 25–35 cohort is estimated at ~50 million, scaled from the Census/ACS 25–34 five-year bracket (~46 million).</w:t>
      </w:r>
    </w:p>
    <w:p>
      <w:pPr>
        <w:pStyle w:val="ListParagraph"/>
        <w:numPr>
          <w:ilvl w:val="0"/>
          <w:numId w:val="2"/>
        </w:numPr>
        <w:spacing w:after="60" w:line="264"/>
      </w:pPr>
      <w:r>
        <w:rPr>
          <w:rFonts w:ascii="Calibri" w:cs="Calibri" w:eastAsia="Calibri" w:hAnsi="Calibri"/>
          <w:color w:val="5B5B5B"/>
          <w:sz w:val="17"/>
          <w:szCs w:val="17"/>
        </w:rPr>
        <w:t xml:space="preserve">Household size for newly formed households: assumed at 1.5–1.7 persons (a mix of singles and couples) — an assumption, not an observed figure.</w:t>
      </w:r>
    </w:p>
    <w:p>
      <w:pPr>
        <w:pStyle w:val="ListParagraph"/>
        <w:numPr>
          <w:ilvl w:val="0"/>
          <w:numId w:val="2"/>
        </w:numPr>
        <w:spacing w:after="60" w:line="264"/>
      </w:pPr>
      <w:r>
        <w:rPr>
          <w:rFonts w:ascii="Calibri" w:cs="Calibri" w:eastAsia="Calibri" w:hAnsi="Calibri"/>
          <w:color w:val="5B5B5B"/>
          <w:sz w:val="17"/>
          <w:szCs w:val="17"/>
        </w:rPr>
        <w:t xml:space="preserve">Tenure split: 2025's actual formation split (79% rent / 21% own) is the base case; 60/40 is used as an illustrative “improved financing” case.</w:t>
      </w:r>
    </w:p>
    <w:p>
      <w:pPr>
        <w:pStyle w:val="ListParagraph"/>
        <w:numPr>
          <w:ilvl w:val="0"/>
          <w:numId w:val="2"/>
        </w:numPr>
        <w:spacing w:after="60" w:line="264"/>
      </w:pPr>
      <w:r>
        <w:rPr>
          <w:rFonts w:ascii="Calibri" w:cs="Calibri" w:eastAsia="Calibri" w:hAnsi="Calibri"/>
          <w:color w:val="5B5B5B"/>
          <w:sz w:val="17"/>
          <w:szCs w:val="17"/>
        </w:rPr>
        <w:t xml:space="preserve">Sections 4–6 draw on Freddie Mac (PMMS), BLS (CPI and Current Population Survey), the Census Bureau (Population Estimates and Housing Vacancy Survey), NAR, and the Federal Reserve Bank of New York (Labor Market for Recent College Graduates); shift-share figures in Sections 2–4 are from the accompanying workbook.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5"/>
        <w:szCs w:val="15"/>
      </w:rPr>
      <w:t xml:space="preserve">Page </w:t>
    </w:r>
    <w:r>
      <w:rPr>
        <w:rFonts w:ascii="Calibri" w:cs="Calibri" w:eastAsia="Calibri" w:hAnsi="Calibri"/>
        <w:color w:val="5B5B5B"/>
        <w:sz w:val="15"/>
        <w:szCs w:val="15"/>
      </w:rPr>
      <w:fldChar w:fldCharType="begin"/>
      <w:instrText xml:space="preserve">PAGE</w:instrText>
      <w:fldChar w:fldCharType="separate"/>
      <w:fldChar w:fldCharType="end"/>
    </w:r>
    <w:r>
      <w:rPr>
        <w:rFonts w:ascii="Calibri" w:cs="Calibri" w:eastAsia="Calibri" w:hAnsi="Calibri"/>
        <w:color w:val="5B5B5B"/>
        <w:sz w:val="15"/>
        <w:szCs w:val="15"/>
      </w:rPr>
      <w:t xml:space="preserve"> of </w:t>
    </w:r>
    <w:r>
      <w:rPr>
        <w:rFonts w:ascii="Calibri" w:cs="Calibri" w:eastAsia="Calibri" w:hAnsi="Calibri"/>
        <w:color w:val="5B5B5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2" w:space="4"/>
      </w:pBdr>
    </w:pPr>
    <w:r>
      <w:rPr>
        <w:rFonts w:ascii="Calibri" w:cs="Calibri" w:eastAsia="Calibri" w:hAnsi="Calibri"/>
        <w:color w:val="5B5B5B"/>
        <w:sz w:val="15"/>
        <w:szCs w:val="15"/>
      </w:rPr>
      <w:t xml:space="preserve">RBC Economics  |  Household Formation and the Housing 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f55acccad59b41232398b4d1e9f821f829601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2026-08-26T11:53:05.655Z</dcterms:created>
  <dcterms:modified xsi:type="dcterms:W3CDTF">2026-08-26T11:53:05.655Z</dcterms:modified>
</cp:coreProperties>
</file>

<file path=docProps/custom.xml><?xml version="1.0" encoding="utf-8"?>
<Properties xmlns="http://schemas.openxmlformats.org/officeDocument/2006/custom-properties" xmlns:vt="http://schemas.openxmlformats.org/officeDocument/2006/docPropsVTypes"/>
</file>