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economic pressures shaping the 2026 midterms</w:t>
      </w:r>
    </w:p>
    <w:p>
      <w:r>
        <w:rPr>
          <w:sz w:val="18"/>
        </w:rPr>
        <w:t>Research draft for a professional finance audience • Data available October 21 2026</w:t>
      </w:r>
    </w:p>
    <w:p>
      <w:r>
        <w:t>The midterms combine a purchasing-power squeeze with weak hiring. Energy and tariff pressures have eroded wage gains, although unemployment and claims show no broad collapse. For investors, the key is where those pressures intersect with races that could shift congressional control.</w:t>
      </w:r>
    </w:p>
    <w:p>
      <w:pPr>
        <w:pStyle w:val="Heading1"/>
      </w:pPr>
      <w:r>
        <w:t>Prices and voter priorities</w:t>
      </w:r>
    </w:p>
    <w:p>
      <w:r>
        <w:t xml:space="preserve">The Iran war has pushed up energy costs, while tariffs have raised imported-goods prices. Shelter and services also contribute: the evidence does not support attributing most of the entire price increase since January 2025 to war and tariffs alone. </w:t>
      </w:r>
      <w:r>
        <w:t>[</w:t>
      </w:r>
      <w:hyperlink r:id="rId10">
        <w:r>
          <w:rPr>
            <w:color w:val="285A7D"/>
          </w:rPr>
          <w:t>1</w:t>
        </w:r>
      </w:hyperlink>
      <w:r>
        <w:t>,</w:t>
      </w:r>
      <w:hyperlink r:id="rId11">
        <w:r>
          <w:rPr>
            <w:color w:val="285A7D"/>
          </w:rPr>
          <w:t>2</w:t>
        </w:r>
      </w:hyperlink>
      <w:r>
        <w:t>]</w:t>
      </w:r>
      <w:r/>
    </w:p>
    <w:p>
      <w:r>
        <w:t xml:space="preserve">Consumer prices were 6.1% higher in September than in January 2025. Over the equivalent first 20 months, prices rose 13.5% under Biden, 4.0% in Trump’s first term and 3.4% in Obama’s second. These cumulative, unadjusted CPI comparisons reflect different inherited conditions and shocks; they do not measure presidential responsibility. </w:t>
      </w:r>
      <w:r>
        <w:t>[</w:t>
      </w:r>
      <w:hyperlink r:id="rId10">
        <w:r>
          <w:rPr>
            <w:color w:val="285A7D"/>
          </w:rPr>
          <w:t>1</w:t>
        </w:r>
      </w:hyperlink>
      <w:r>
        <w:t>,</w:t>
      </w:r>
      <w:hyperlink r:id="rId12">
        <w:r>
          <w:rPr>
            <w:color w:val="285A7D"/>
          </w:rPr>
          <w:t>5</w:t>
        </w:r>
      </w:hyperlink>
      <w:r>
        <w:t>,</w:t>
      </w:r>
      <w:hyperlink r:id="rId13">
        <w:r>
          <w:rPr>
            <w:color w:val="285A7D"/>
          </w:rPr>
          <w:t>6</w:t>
        </w:r>
      </w:hyperlink>
      <w:r>
        <w:t>]</w:t>
      </w:r>
      <w:r/>
    </w:p>
    <w:p>
      <w:commentRangeStart w:id="5"/>
      <w:r>
        <w:t xml:space="preserve">The latest acceleration is energy driven. September CPI rose 0.6% month on month and 3.7% year on year, with gasoline accounting for more than half the monthly increase. Energy prices rose 20.4% annually, contributing 1.35 percentage points, or about 36%, of annual inflation; food contributed 0.34 points and core categories 2.05. These contributions cover the latest year, not the full period since January 2025. </w:t>
      </w:r>
      <w:commentRangeEnd w:id="5"/>
      <w:r>
        <w:rPr>
          <w:rStyle w:val="CommentReference"/>
        </w:rPr>
        <w:commentReference w:id="5"/>
      </w:r>
      <w:r>
        <w:t>[</w:t>
      </w:r>
      <w:hyperlink r:id="rId10">
        <w:r>
          <w:rPr>
            <w:color w:val="285A7D"/>
          </w:rPr>
          <w:t>1</w:t>
        </w:r>
      </w:hyperlink>
      <w:r>
        <w:t>,</w:t>
      </w:r>
      <w:hyperlink r:id="rId14">
        <w:r>
          <w:rPr>
            <w:color w:val="285A7D"/>
          </w:rPr>
          <w:t>7</w:t>
        </w:r>
      </w:hyperlink>
      <w:r>
        <w:t>]</w:t>
      </w:r>
      <w:r/>
    </w:p>
    <w:p>
      <w:r>
        <w:t xml:space="preserve">Spillover is visible but difficult to isolate. Airfares rose 22.4% annually, while core CPI increased 2.6%. Minneapolis Fed researchers estimate tariffs added 0.2–0.4 percentage points to core PCE inflation as of July, a different measure and period. The electoral stakes are clear: 47% of registered voters in an August 28–31 Reuters/Ipsos poll named cost of living the single most important factor in their midterm vote. </w:t>
      </w:r>
      <w:r>
        <w:t>[</w:t>
      </w:r>
      <w:hyperlink r:id="rId10">
        <w:r>
          <w:rPr>
            <w:color w:val="285A7D"/>
          </w:rPr>
          <w:t>1</w:t>
        </w:r>
      </w:hyperlink>
      <w:r>
        <w:t>,</w:t>
      </w:r>
      <w:hyperlink r:id="rId11">
        <w:r>
          <w:rPr>
            <w:color w:val="285A7D"/>
          </w:rPr>
          <w:t>2</w:t>
        </w:r>
      </w:hyperlink>
      <w:r>
        <w:t>,</w:t>
      </w:r>
      <w:hyperlink r:id="rId15">
        <w:r>
          <w:rPr>
            <w:color w:val="285A7D"/>
          </w:rPr>
          <w:t>8</w:t>
        </w:r>
      </w:hyperlink>
      <w:r>
        <w:t>]</w:t>
      </w:r>
      <w:r/>
    </w:p>
    <w:p>
      <w:r>
        <w:t xml:space="preserve">Price relief is politically urgent. The October 9 Russian diesel agreement envisaged an initial 300,000 tonnes, followed by 500,000 in November and another million thereafter. The first tranche is small relative to global needs. Washington also offered loans of up to 315,000 barrels from its Northeast heating-oil reserve, with deliveries expected by November 13, limiting relief before the November 3 vote. </w:t>
      </w:r>
      <w:r>
        <w:t>[</w:t>
      </w:r>
      <w:hyperlink r:id="rId16">
        <w:r>
          <w:rPr>
            <w:color w:val="285A7D"/>
          </w:rPr>
          <w:t>3</w:t>
        </w:r>
      </w:hyperlink>
      <w:r>
        <w:t>,</w:t>
      </w:r>
      <w:hyperlink r:id="rId17">
        <w:r>
          <w:rPr>
            <w:color w:val="285A7D"/>
          </w:rPr>
          <w:t>4</w:t>
        </w:r>
      </w:hyperlink>
      <w:r>
        <w:t>]</w:t>
      </w:r>
      <w:r/>
    </w:p>
    <w:p>
      <w:commentRangeStart w:id="1"/>
      <w:r>
        <w:t xml:space="preserve">City CPI offers local proxies: annual inflation was 3.7% in Detroit and 4.2% in Philadelphia in August, versus 3.0% in Dallas and 3.6% in Minneapolis–St. Paul in September. These are metro-area readings with different reference months, not statewide estimates. </w:t>
      </w:r>
      <w:commentRangeEnd w:id="1"/>
      <w:r>
        <w:rPr>
          <w:rStyle w:val="CommentReference"/>
        </w:rPr>
        <w:commentReference w:id="1"/>
      </w:r>
      <w:r>
        <w:t>[</w:t>
      </w:r>
      <w:hyperlink r:id="rId18">
        <w:r>
          <w:rPr>
            <w:color w:val="285A7D"/>
          </w:rPr>
          <w:t>22</w:t>
        </w:r>
      </w:hyperlink>
      <w:r>
        <w:t>]</w:t>
      </w:r>
      <w:r/>
    </w:p>
    <w:p>
      <w:pPr>
        <w:pStyle w:val="Heading1"/>
      </w:pPr>
      <w:r>
        <w:t>Employment and layoffs</w:t>
      </w:r>
    </w:p>
    <w:p>
      <w:r>
        <w:t xml:space="preserve">National unemployment reached 4.2% in September, up just 0.2 percentage points since January 2025. Payrolls increased by 29,000, following average monthly gains of 45,000 over the preceding year. Hiring is weak even without a pronounced rise in unemployment. </w:t>
      </w:r>
      <w:r>
        <w:t>[</w:t>
      </w:r>
      <w:hyperlink r:id="rId19">
        <w:r>
          <w:rPr>
            <w:color w:val="285A7D"/>
          </w:rPr>
          <w:t>9</w:t>
        </w:r>
      </w:hyperlink>
      <w:r>
        <w:t>,</w:t>
      </w:r>
      <w:hyperlink r:id="rId20">
        <w:r>
          <w:rPr>
            <w:color w:val="285A7D"/>
          </w:rPr>
          <w:t>10</w:t>
        </w:r>
      </w:hyperlink>
      <w:r>
        <w:t>]</w:t>
      </w:r>
      <w:r/>
    </w:p>
    <w:p>
      <w:r>
        <w:t xml:space="preserve">Conditions vary across Senate battlegrounds. Since January 2025, unemployment fell 1.4 points in Ohio, 0.3 in Michigan and Iowa, and 0.2 in Alaska; it was unchanged in Maine and Kansas and rose 0.3 in Texas. Elsewhere, it increased 1.1 points in Minnesota, 0.9 in Florida and 0.7 in Arizona, but fell 0.4 in North Carolina. Participation and labor supply also influence these rates. </w:t>
      </w:r>
      <w:r>
        <w:t>[</w:t>
      </w:r>
      <w:hyperlink r:id="rId21">
        <w:r>
          <w:rPr>
            <w:color w:val="285A7D"/>
          </w:rPr>
          <w:t>11</w:t>
        </w:r>
      </w:hyperlink>
      <w:r>
        <w:t>,</w:t>
      </w:r>
      <w:hyperlink r:id="rId22">
        <w:r>
          <w:rPr>
            <w:color w:val="285A7D"/>
          </w:rPr>
          <w:t>12</w:t>
        </w:r>
      </w:hyperlink>
      <w:r>
        <w:t>]</w:t>
      </w:r>
      <w:r/>
    </w:p>
    <w:p>
      <w:commentRangeStart w:id="3"/>
      <w:r>
        <w:t xml:space="preserve">Unemployment insurance claims show little evidence of widespread layoffs. Initial claims were 199,000 in the week ended October 10, against 207,000 in late January 2025; continuing claims were 1.710 million in the week ended October 3, versus 1.858 million. These weekly snapshots exclude many new entrants and ineligible workers, so low claims can coexist with difficult job searches. </w:t>
      </w:r>
      <w:commentRangeEnd w:id="3"/>
      <w:r>
        <w:rPr>
          <w:rStyle w:val="CommentReference"/>
        </w:rPr>
        <w:commentReference w:id="3"/>
      </w:r>
      <w:r>
        <w:t>[</w:t>
      </w:r>
      <w:hyperlink r:id="rId23">
        <w:r>
          <w:rPr>
            <w:color w:val="285A7D"/>
          </w:rPr>
          <w:t>16</w:t>
        </w:r>
      </w:hyperlink>
      <w:r>
        <w:t>,</w:t>
      </w:r>
      <w:hyperlink r:id="rId24">
        <w:r>
          <w:rPr>
            <w:color w:val="285A7D"/>
          </w:rPr>
          <w:t>17</w:t>
        </w:r>
      </w:hyperlink>
      <w:r>
        <w:t>]</w:t>
      </w:r>
      <w:r/>
    </w:p>
    <w:p>
      <w:commentRangeStart w:id="6"/>
      <w:r>
        <w:t xml:space="preserve">Young workers illustrate that gap: RBC Economics’ May report, Frozen job ladder, put recent graduates’ unemployment near 5.6% and underemployment above 41%. </w:t>
      </w:r>
      <w:commentRangeEnd w:id="6"/>
      <w:r>
        <w:rPr>
          <w:rStyle w:val="CommentReference"/>
        </w:rPr>
        <w:commentReference w:id="6"/>
      </w:r>
      <w:r>
        <w:t>[</w:t>
      </w:r>
      <w:hyperlink r:id="rId25">
        <w:r>
          <w:rPr>
            <w:color w:val="285A7D"/>
          </w:rPr>
          <w:t>13</w:t>
        </w:r>
      </w:hyperlink>
      <w:r>
        <w:t>]</w:t>
      </w:r>
      <w:r/>
    </w:p>
    <w:p>
      <w:pPr>
        <w:pStyle w:val="Heading1"/>
      </w:pPr>
      <w:r>
        <w:t>Income and purchasing power</w:t>
      </w:r>
    </w:p>
    <w:p>
      <w:r>
        <w:t xml:space="preserve">Average hourly and weekly earnings rose 3.0% and 3.6% over the year to September, but fell 0.7% and 0.1% after inflation. Since January 2025, nominal gains were about 5.5% and 6.4%; seasonally adjusted real hourly earnings were essentially unchanged and real weekly earnings only 0.9% higher. Longer hours have cushioned weekly pay. </w:t>
      </w:r>
      <w:r>
        <w:t>[</w:t>
      </w:r>
      <w:hyperlink r:id="rId26">
        <w:r>
          <w:rPr>
            <w:color w:val="285A7D"/>
          </w:rPr>
          <w:t>14</w:t>
        </w:r>
      </w:hyperlink>
      <w:r>
        <w:t>,</w:t>
      </w:r>
      <w:hyperlink r:id="rId27">
        <w:r>
          <w:rPr>
            <w:color w:val="285A7D"/>
          </w:rPr>
          <w:t>15</w:t>
        </w:r>
      </w:hyperlink>
      <w:r>
        <w:t>]</w:t>
      </w:r>
      <w:r/>
    </w:p>
    <w:p>
      <w:commentRangeStart w:id="2"/>
      <w:r>
        <w:t xml:space="preserve">BEA’s quarterly state personal income captures earnings, property income and transfers. In Q2 2026, the latest quarter, nominal income rose in 49 states and DC. Annualized quarterly growth ranged from 6.4% in Wisconsin to −4.2% in North Dakota, against 4.7% nationally. Wisconsin’s transfer receipts rose 13.0%, underscoring that income growth need not reflect stronger wages. </w:t>
      </w:r>
      <w:commentRangeEnd w:id="2"/>
      <w:r>
        <w:rPr>
          <w:rStyle w:val="CommentReference"/>
        </w:rPr>
        <w:commentReference w:id="2"/>
      </w:r>
      <w:r>
        <w:t>[</w:t>
      </w:r>
      <w:hyperlink r:id="rId28">
        <w:r>
          <w:rPr>
            <w:color w:val="285A7D"/>
          </w:rPr>
          <w:t>23</w:t>
        </w:r>
      </w:hyperlink>
      <w:r>
        <w:t>]</w:t>
      </w:r>
      <w:r/>
    </w:p>
    <w:p>
      <w:pPr>
        <w:pStyle w:val="Heading1"/>
      </w:pPr>
      <w:r>
        <w:t>Races to watch</w:t>
      </w:r>
    </w:p>
    <w:p>
      <w:commentRangeStart w:id="4"/>
      <w:r>
        <w:t xml:space="preserve">Democrats need a net four Senate seats to overturn the 53–47 division. Cook’s October 6 toss-ups were Alaska, Iowa, Kansas, Maine, Michigan, Ohio and Texas. Also watch North Carolina, rated Likely Democratic, and Democratic defenses in New Hampshire and Minnesota; Cook moved Minnesota to Lean Democratic on October 20. </w:t>
      </w:r>
      <w:commentRangeEnd w:id="4"/>
      <w:r>
        <w:rPr>
          <w:rStyle w:val="CommentReference"/>
        </w:rPr>
        <w:commentReference w:id="4"/>
      </w:r>
      <w:r>
        <w:t>[</w:t>
      </w:r>
      <w:hyperlink r:id="rId29">
        <w:r>
          <w:rPr>
            <w:color w:val="285A7D"/>
          </w:rPr>
          <w:t>18</w:t>
        </w:r>
      </w:hyperlink>
      <w:r>
        <w:t>,</w:t>
      </w:r>
      <w:hyperlink r:id="rId30">
        <w:r>
          <w:rPr>
            <w:color w:val="285A7D"/>
          </w:rPr>
          <w:t>20</w:t>
        </w:r>
      </w:hyperlink>
      <w:r>
        <w:t>]</w:t>
      </w:r>
      <w:r/>
    </w:p>
    <w:p>
      <w:r>
        <w:t xml:space="preserve">The House requires a district lens. Cook’s October 16 ratings identified 21 toss-ups, including three in Michigan and two each in Florida, North Carolina, Ohio, Texas and Virginia. State economic averages provide context, but local polling and turnout remain essential. Changes in control would reshape fiscal negotiations without automatically reversing energy disruptions or tariff pass-through. </w:t>
      </w:r>
      <w:r>
        <w:t>[</w:t>
      </w:r>
      <w:hyperlink r:id="rId31">
        <w:r>
          <w:rPr>
            <w:color w:val="285A7D"/>
          </w:rPr>
          <w:t>19</w:t>
        </w:r>
      </w:hyperlink>
      <w:r>
        <w:t>]</w:t>
      </w:r>
      <w:r/>
    </w:p>
    <w:p>
      <w:r>
        <w:br w:type="page"/>
      </w:r>
    </w:p>
    <w:p>
      <w:pPr>
        <w:pStyle w:val="Title"/>
      </w:pPr>
      <w:commentRangeStart w:id="0"/>
      <w:r>
        <w:t>State unemployment and congressional competition</w:t>
      </w:r>
      <w:commentRangeEnd w:id="0"/>
      <w:r>
        <w:rPr>
          <w:rStyle w:val="CommentReference"/>
        </w:rPr>
        <w:commentReference w:id="0"/>
      </w:r>
    </w:p>
    <w:p>
      <w:r>
        <w:drawing>
          <wp:inline xmlns:a="http://schemas.openxmlformats.org/drawingml/2006/main" xmlns:pic="http://schemas.openxmlformats.org/drawingml/2006/picture">
            <wp:extent cx="6400800" cy="4825955"/>
            <wp:docPr id="1" name="Picture 1"/>
            <wp:cNvGraphicFramePr>
              <a:graphicFrameLocks noChangeAspect="1"/>
            </wp:cNvGraphicFramePr>
            <a:graphic>
              <a:graphicData uri="http://schemas.openxmlformats.org/drawingml/2006/picture">
                <pic:pic>
                  <pic:nvPicPr>
                    <pic:cNvPr id="0" name="unemployment_map.png"/>
                    <pic:cNvPicPr/>
                  </pic:nvPicPr>
                  <pic:blipFill>
                    <a:blip r:embed="rId32"/>
                    <a:stretch>
                      <a:fillRect/>
                    </a:stretch>
                  </pic:blipFill>
                  <pic:spPr>
                    <a:xfrm>
                      <a:off x="0" y="0"/>
                      <a:ext cx="6400800" cy="4825955"/>
                    </a:xfrm>
                    <a:prstGeom prst="rect"/>
                  </pic:spPr>
                </pic:pic>
              </a:graphicData>
            </a:graphic>
          </wp:inline>
        </w:drawing>
      </w:r>
    </w:p>
    <w:p>
      <w:r>
        <w:rPr>
          <w:sz w:val="18"/>
        </w:rPr>
        <w:t>Sources: BLS LAUS; Cook Senate ratings October 6 and House ratings October 16, reproduced by Kalshi and 270toWin. September 2026 unemployment estimates are preliminary.</w:t>
      </w:r>
    </w:p>
    <w:p>
      <w:r>
        <w:br w:type="page"/>
      </w:r>
    </w:p>
    <w:p>
      <w:pPr>
        <w:pStyle w:val="Title"/>
      </w:pPr>
      <w:r>
        <w:t>Sources and calculation notes</w:t>
      </w:r>
    </w:p>
    <w:p>
      <w:pPr>
        <w:spacing w:after="120"/>
      </w:pPr>
      <w:r>
        <w:rPr>
          <w:sz w:val="18"/>
        </w:rPr>
        <w:t xml:space="preserve">1. </w:t>
      </w:r>
      <w:hyperlink r:id="rId10">
        <w:r>
          <w:rPr>
            <w:color w:val="285A7D"/>
          </w:rPr>
          <w:t>BLS September 2026 CPI and 12 month contribution table</w:t>
        </w:r>
      </w:hyperlink>
    </w:p>
    <w:p>
      <w:pPr>
        <w:spacing w:after="120"/>
      </w:pPr>
      <w:r>
        <w:rPr>
          <w:sz w:val="18"/>
        </w:rPr>
        <w:t xml:space="preserve">2. </w:t>
      </w:r>
      <w:hyperlink r:id="rId11">
        <w:r>
          <w:rPr>
            <w:color w:val="285A7D"/>
          </w:rPr>
          <w:t>Minneapolis Fed tariff pass through research</w:t>
        </w:r>
      </w:hyperlink>
    </w:p>
    <w:p>
      <w:pPr>
        <w:spacing w:after="120"/>
      </w:pPr>
      <w:r>
        <w:rPr>
          <w:sz w:val="18"/>
        </w:rPr>
        <w:t xml:space="preserve">3. </w:t>
      </w:r>
      <w:hyperlink r:id="rId16">
        <w:r>
          <w:rPr>
            <w:color w:val="285A7D"/>
          </w:rPr>
          <w:t>Council on Foreign Relations Russian diesel agreement October 19</w:t>
        </w:r>
      </w:hyperlink>
    </w:p>
    <w:p>
      <w:pPr>
        <w:spacing w:after="120"/>
      </w:pPr>
      <w:r>
        <w:rPr>
          <w:sz w:val="18"/>
        </w:rPr>
        <w:t xml:space="preserve">4. </w:t>
      </w:r>
      <w:hyperlink r:id="rId17">
        <w:r>
          <w:rPr>
            <w:color w:val="285A7D"/>
          </w:rPr>
          <w:t>Reuters heating oil reserve offer October 21</w:t>
        </w:r>
      </w:hyperlink>
    </w:p>
    <w:p>
      <w:pPr>
        <w:spacing w:after="120"/>
      </w:pPr>
      <w:r>
        <w:rPr>
          <w:sz w:val="18"/>
        </w:rPr>
        <w:t xml:space="preserve">5. </w:t>
      </w:r>
      <w:hyperlink r:id="rId12">
        <w:r>
          <w:rPr>
            <w:color w:val="285A7D"/>
          </w:rPr>
          <w:t>BLS January 2025 CPI baseline</w:t>
        </w:r>
      </w:hyperlink>
    </w:p>
    <w:p>
      <w:pPr>
        <w:spacing w:after="120"/>
      </w:pPr>
      <w:r>
        <w:rPr>
          <w:sz w:val="18"/>
        </w:rPr>
        <w:t xml:space="preserve">6. </w:t>
      </w:r>
      <w:hyperlink r:id="rId13">
        <w:r>
          <w:rPr>
            <w:color w:val="285A7D"/>
          </w:rPr>
          <w:t>BLS historical CPI series via FRED</w:t>
        </w:r>
      </w:hyperlink>
    </w:p>
    <w:p>
      <w:pPr>
        <w:spacing w:after="120"/>
      </w:pPr>
      <w:r>
        <w:rPr>
          <w:sz w:val="18"/>
        </w:rPr>
        <w:t xml:space="preserve">7. </w:t>
      </w:r>
      <w:hyperlink r:id="rId14">
        <w:r>
          <w:rPr>
            <w:color w:val="285A7D"/>
          </w:rPr>
          <w:t>BLS September 2026 CPI contributions Table 7</w:t>
        </w:r>
      </w:hyperlink>
    </w:p>
    <w:p>
      <w:pPr>
        <w:spacing w:after="120"/>
      </w:pPr>
      <w:r>
        <w:rPr>
          <w:sz w:val="18"/>
        </w:rPr>
        <w:t xml:space="preserve">8. </w:t>
      </w:r>
      <w:hyperlink r:id="rId15">
        <w:r>
          <w:rPr>
            <w:color w:val="285A7D"/>
          </w:rPr>
          <w:t>Reuters Ipsos cost of living poll August 28 to 31</w:t>
        </w:r>
      </w:hyperlink>
    </w:p>
    <w:p>
      <w:pPr>
        <w:spacing w:after="120"/>
      </w:pPr>
      <w:r>
        <w:rPr>
          <w:sz w:val="18"/>
        </w:rPr>
        <w:t xml:space="preserve">9. </w:t>
      </w:r>
      <w:hyperlink r:id="rId19">
        <w:r>
          <w:rPr>
            <w:color w:val="285A7D"/>
          </w:rPr>
          <w:t>BLS September 2026 employment report</w:t>
        </w:r>
      </w:hyperlink>
    </w:p>
    <w:p>
      <w:pPr>
        <w:spacing w:after="120"/>
      </w:pPr>
      <w:r>
        <w:rPr>
          <w:sz w:val="18"/>
        </w:rPr>
        <w:t xml:space="preserve">10. </w:t>
      </w:r>
      <w:hyperlink r:id="rId20">
        <w:r>
          <w:rPr>
            <w:color w:val="285A7D"/>
          </w:rPr>
          <w:t>BLS unemployment rate history</w:t>
        </w:r>
      </w:hyperlink>
    </w:p>
    <w:p>
      <w:pPr>
        <w:spacing w:after="120"/>
      </w:pPr>
      <w:r>
        <w:rPr>
          <w:sz w:val="18"/>
        </w:rPr>
        <w:t xml:space="preserve">11. </w:t>
      </w:r>
      <w:hyperlink r:id="rId21">
        <w:r>
          <w:rPr>
            <w:color w:val="285A7D"/>
          </w:rPr>
          <w:t>BLS January 2025 state rates revised April 2026 Table 1</w:t>
        </w:r>
      </w:hyperlink>
    </w:p>
    <w:p>
      <w:pPr>
        <w:spacing w:after="120"/>
      </w:pPr>
      <w:r>
        <w:rPr>
          <w:sz w:val="18"/>
        </w:rPr>
        <w:t xml:space="preserve">12. </w:t>
      </w:r>
      <w:hyperlink r:id="rId22">
        <w:r>
          <w:rPr>
            <w:color w:val="285A7D"/>
          </w:rPr>
          <w:t>BLS September 2026 state rates Table 1</w:t>
        </w:r>
      </w:hyperlink>
    </w:p>
    <w:p>
      <w:pPr>
        <w:spacing w:after="120"/>
      </w:pPr>
      <w:r>
        <w:rPr>
          <w:sz w:val="18"/>
        </w:rPr>
        <w:t xml:space="preserve">13. </w:t>
      </w:r>
      <w:hyperlink r:id="rId25">
        <w:r>
          <w:rPr>
            <w:color w:val="285A7D"/>
          </w:rPr>
          <w:t>RBC Frozen job ladder May 29 2026</w:t>
        </w:r>
      </w:hyperlink>
    </w:p>
    <w:p>
      <w:pPr>
        <w:spacing w:after="120"/>
      </w:pPr>
      <w:r>
        <w:rPr>
          <w:sz w:val="18"/>
        </w:rPr>
        <w:t xml:space="preserve">14. </w:t>
      </w:r>
      <w:hyperlink r:id="rId26">
        <w:r>
          <w:rPr>
            <w:color w:val="285A7D"/>
          </w:rPr>
          <w:t>BLS September 2026 real earnings Table A1</w:t>
        </w:r>
      </w:hyperlink>
    </w:p>
    <w:p>
      <w:pPr>
        <w:spacing w:after="120"/>
      </w:pPr>
      <w:r>
        <w:rPr>
          <w:sz w:val="18"/>
        </w:rPr>
        <w:t xml:space="preserve">15. </w:t>
      </w:r>
      <w:hyperlink r:id="rId27">
        <w:r>
          <w:rPr>
            <w:color w:val="285A7D"/>
          </w:rPr>
          <w:t>BLS January 2025 earnings revised February 2026 Table A1</w:t>
        </w:r>
      </w:hyperlink>
    </w:p>
    <w:p>
      <w:pPr>
        <w:spacing w:after="120"/>
      </w:pPr>
      <w:r>
        <w:rPr>
          <w:sz w:val="18"/>
        </w:rPr>
        <w:t xml:space="preserve">16. </w:t>
      </w:r>
      <w:hyperlink r:id="rId23">
        <w:r>
          <w:rPr>
            <w:color w:val="285A7D"/>
          </w:rPr>
          <w:t>Department of Labor weekly claims October 15 2026</w:t>
        </w:r>
      </w:hyperlink>
    </w:p>
    <w:p>
      <w:pPr>
        <w:spacing w:after="120"/>
      </w:pPr>
      <w:r>
        <w:rPr>
          <w:sz w:val="18"/>
        </w:rPr>
        <w:t xml:space="preserve">17. </w:t>
      </w:r>
      <w:hyperlink r:id="rId24">
        <w:r>
          <w:rPr>
            <w:color w:val="285A7D"/>
          </w:rPr>
          <w:t>Department of Labor weekly claims January 30 2025</w:t>
        </w:r>
      </w:hyperlink>
    </w:p>
    <w:p>
      <w:pPr>
        <w:spacing w:after="120"/>
      </w:pPr>
      <w:r>
        <w:rPr>
          <w:sz w:val="18"/>
        </w:rPr>
        <w:t xml:space="preserve">18. </w:t>
      </w:r>
      <w:hyperlink r:id="rId29">
        <w:r>
          <w:rPr>
            <w:color w:val="285A7D"/>
          </w:rPr>
          <w:t>Cook Senate ratings October 6 reproduced by Kalshi</w:t>
        </w:r>
      </w:hyperlink>
    </w:p>
    <w:p>
      <w:pPr>
        <w:spacing w:after="120"/>
      </w:pPr>
      <w:r>
        <w:rPr>
          <w:sz w:val="18"/>
        </w:rPr>
        <w:t xml:space="preserve">19. </w:t>
      </w:r>
      <w:hyperlink r:id="rId31">
        <w:r>
          <w:rPr>
            <w:color w:val="285A7D"/>
          </w:rPr>
          <w:t>Cook House ratings October 16 reproduced by 270toWin</w:t>
        </w:r>
      </w:hyperlink>
    </w:p>
    <w:p>
      <w:pPr>
        <w:spacing w:after="120"/>
      </w:pPr>
      <w:r>
        <w:rPr>
          <w:sz w:val="18"/>
        </w:rPr>
        <w:t xml:space="preserve">20. </w:t>
      </w:r>
      <w:hyperlink r:id="rId30">
        <w:r>
          <w:rPr>
            <w:color w:val="285A7D"/>
          </w:rPr>
          <w:t>Cook October 20 rating changes</w:t>
        </w:r>
      </w:hyperlink>
    </w:p>
    <w:p>
      <w:pPr>
        <w:spacing w:after="120"/>
      </w:pPr>
      <w:r>
        <w:rPr>
          <w:sz w:val="18"/>
        </w:rPr>
        <w:t xml:space="preserve">21. </w:t>
      </w:r>
      <w:hyperlink r:id="rId34">
        <w:r>
          <w:rPr>
            <w:color w:val="285A7D"/>
          </w:rPr>
          <w:t>BLS CPI geographic coverage</w:t>
        </w:r>
      </w:hyperlink>
    </w:p>
    <w:p>
      <w:pPr>
        <w:spacing w:after="120"/>
      </w:pPr>
      <w:r>
        <w:rPr>
          <w:sz w:val="18"/>
        </w:rPr>
        <w:t xml:space="preserve">22. </w:t>
      </w:r>
      <w:hyperlink r:id="rId18">
        <w:r>
          <w:rPr>
            <w:color w:val="285A7D"/>
          </w:rPr>
          <w:t>BLS September 2026 local CPI Table 4</w:t>
        </w:r>
      </w:hyperlink>
    </w:p>
    <w:p>
      <w:pPr>
        <w:spacing w:after="120"/>
      </w:pPr>
      <w:r>
        <w:rPr>
          <w:sz w:val="18"/>
        </w:rPr>
        <w:t xml:space="preserve">23. </w:t>
      </w:r>
      <w:hyperlink r:id="rId28">
        <w:r>
          <w:rPr>
            <w:color w:val="285A7D"/>
          </w:rPr>
          <w:t>BEA quarterly state personal income September 30 2026 release</w:t>
        </w:r>
      </w:hyperlink>
    </w:p>
    <w:p>
      <w:pPr>
        <w:pStyle w:val="Heading1"/>
      </w:pPr>
      <w:r>
        <w:t>Cumulative CPI comparisons</w:t>
      </w:r>
    </w:p>
    <w:p>
      <w:r>
        <w:rPr>
          <w:sz w:val="18"/>
        </w:rPr>
        <w:t>Formula: 100 × (ending index / starting index − 1). CPI-U, not seasonally adjusted: Jan 2025 317.671 to Sep 2026 336.940; Jan 2021 261.582 to Sep 2022 296.808; Jan 2017 242.839 to Sep 2018 252.439; Jan 2013 230.280 to Sep 2014 238.031. Each interval is 20 months. The comparison uses the same calendar endpoints; January includes days before inauguration.</w:t>
      </w:r>
    </w:p>
    <w:p>
      <w:r>
        <w:rPr>
          <w:sz w:val="18"/>
        </w:rPr>
        <w:t>Earnings calculations use the revised January 2025 baseline in the February 2026 release: hourly $35.84, weekly $1,222.14, real hourly $11.24 and real weekly $383.16. September 2026: $37.81, $1,300.66, $11.24 and $386.76. Real earnings use seasonally adjusted CPI and therefore should not be deflated again using the 6.1% unadjusted CPI comparison. Energy’s annual contribution share is 1.353 / (1.353 + 0.338 + 2.046), approximately 36%.</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search notes" w:initials="RN" w:date="2026-10-21T19:00:37Z">
    <w:p>
      <w:pPr>
        <w:pStyle w:val="CommentText"/>
      </w:pPr>
      <w:r>
        <w:rPr>
          <w:rStyle w:val="CommentReference"/>
        </w:rPr>
        <w:annotationRef/>
      </w:r>
      <w:r>
        <w:t>Unemployment map methodology: BLS LAUS Tables 1, April 8 and October 20 2026. Each tile represents one state or DC; positions are schematic. January 2025 rates incorporate the April 2026 revisions. Changes are descriptive and have not been tested for statistical significance. The outlines identify the seven Senate toss-ups in the dated snapshot, not every competitive Senate race. North Carolina, New Hampshire, Minnesota and South Carolina also warrant attention. House markers count toss-up districts only; lean races remain relevant. DC has no voting House or Senate seat.</w:t>
      </w:r>
    </w:p>
  </w:comment>
  <w:comment w:id="1" w:author="Research notes" w:initials="RN" w:date="2026-10-21T19:00:37Z">
    <w:p>
      <w:pPr>
        <w:pStyle w:val="CommentText"/>
      </w:pPr>
      <w:r>
        <w:rPr>
          <w:rStyle w:val="CommentReference"/>
        </w:rPr>
        <w:annotationRef/>
      </w:r>
      <w:r>
        <w:t>Inflation map: use BLS all-items CPI-U for selected local areas as city/metro proxies. Plot metro markers over state outlines, with congressional competition overlaid; do not fill an entire state with one city’s CPI. For the latest snapshot use year-on-year changes and label each observation August or September 2026. For a common-period comparison use H1 2026 versus H1 2025 averages of published observations, noting monthly/bimonthly sampling. For a since-January-2025 comparison, January-to-September is available only for monthly/odd-month areas; even-month areas require a separately labelled February-to-August window, not an invented January value. Preserve the full metro footprint when it spans states. Detroit covers part of Michigan; Minneapolis–St. Paul spans Minnesota/Wisconsin; Philadelphia spans Pennsylvania/New Jersey/Delaware/Maryland; Dallas and Houston cover different parts of Texas. For Maine, Iowa, Kansas and Ohio, there is no dedicated local index in this BLS release: leave coverage blank or use a distinctly labelled Census-region fallback. BLS warns that local indexes are more volatile. The city CPI map remains to be built; verified local readings have been added to the draft. Source: https://www.bls.gov/news.release/cpi.t04.htm?stream=top</w:t>
      </w:r>
    </w:p>
  </w:comment>
  <w:comment w:id="2" w:author="Research notes" w:initials="RN" w:date="2026-10-21T19:00:37Z">
    <w:p>
      <w:pPr>
        <w:pStyle w:val="CommentText"/>
      </w:pPr>
      <w:r>
        <w:rPr>
          <w:rStyle w:val="CommentReference"/>
        </w:rPr>
        <w:annotationRef/>
      </w:r>
      <w:r>
        <w:t>Income map: replace the state CES wage-based design with BEA SQINC1, line 1, quarterly total personal income in current dollars, seasonally adjusted at annual rates. Use Q1 2025 as the quarterly baseline and Q2 2026 as the latest endpoint as of October 21. Calculate cumulative growth as 100 × (PI in Q2 2026 / PI in Q1 2025 − 1); do not annualize this cumulative ratio or sum annualized quarterly rates. Q1 is a quarterly baseline, not an exact January observation. Use all states from the September 30 2026 vintage, which revised earlier quarters. Total personal income is broader than wages and includes property income and transfers; label the map nominal personal-income growth. A per-capita sensitivity check can help distinguish population growth from income gains per resident. Do not deflate statewide income with one city’s CPI and present it as official real state income. The full state map and cumulative Q1 2025-to-Q2 2026 calculations remain to be populated in Macrobond. The draft’s 6.4%, −4.2% and 4.7% figures are Q2 versus Q1 2026 growth at annual rates, not cumulative growth since Q1 2025. Source: https://www.bea.gov/data/income-saving/personal-income-by-state</w:t>
      </w:r>
    </w:p>
  </w:comment>
  <w:comment w:id="3" w:author="Research notes" w:initials="RN" w:date="2026-10-21T19:00:37Z">
    <w:p>
      <w:pPr>
        <w:pStyle w:val="CommentText"/>
      </w:pPr>
      <w:r>
        <w:rPr>
          <w:rStyle w:val="CommentReference"/>
        </w:rPr>
        <w:annotationRef/>
      </w:r>
      <w:r>
        <w:t>Claims map: use Department of Labor state initial and continued claims. State weekly releases are generally unadjusted: compare matched 13-week periods year on year rather than raw October against January. Normalize initial claims by covered employment and show continuing claims as an insured unemployment rate. For the January 2025 baseline, use a consistently seasonally adjusted state series if available. Continuing claims are affected by eligibility, duration and benefit exhaustion. This map remains to be built.</w:t>
      </w:r>
    </w:p>
  </w:comment>
  <w:comment w:id="4" w:author="Research notes" w:initials="RN" w:date="2026-10-21T19:00:37Z">
    <w:p>
      <w:pPr>
        <w:pStyle w:val="CommentText"/>
      </w:pPr>
      <w:r>
        <w:rPr>
          <w:rStyle w:val="CommentReference"/>
        </w:rPr>
        <w:annotationRef/>
      </w:r>
      <w:r>
        <w:t>Election overlay: keep economic fill colors independent of party colors. Reuse the heavy border for Senate toss-ups and H counts for House toss-ups. Add a separate watch list for lean and likely races, with ratings dates. For a geographic House map, use 2026 district boundaries. Refresh the ratings immediately before publication.</w:t>
      </w:r>
    </w:p>
  </w:comment>
  <w:comment w:id="5" w:author="Research notes" w:initials="RN" w:date="2026-10-21T19:00:37Z">
    <w:p>
      <w:pPr>
        <w:pStyle w:val="CommentText"/>
      </w:pPr>
      <w:r>
        <w:rPr>
          <w:rStyle w:val="CommentReference"/>
        </w:rPr>
        <w:annotationRef/>
      </w:r>
      <w:r>
        <w:t>Inflation decomposition: the contributions cited are for the latest twelve months. A January 2025-to-date decomposition still requires a chain-consistent contribution calculation and is not inferred from current basket weights.</w:t>
      </w:r>
    </w:p>
  </w:comment>
  <w:comment w:id="6" w:author="Research notes" w:initials="RN" w:date="2026-10-21T19:00:37Z">
    <w:p>
      <w:pPr>
        <w:pStyle w:val="CommentText"/>
      </w:pPr>
      <w:r>
        <w:rPr>
          <w:rStyle w:val="CommentReference"/>
        </w:rPr>
        <w:annotationRef/>
      </w:r>
      <w:r>
        <w:t>Editorial choice: retained the RBC youth-employment reference and omitted the Mamdani analogy because the economic evidence does not establish electoral causation.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October 21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bls.gov/news.release/cpi.nr0.htm" TargetMode="External"/><Relationship Id="rId11" Type="http://schemas.openxmlformats.org/officeDocument/2006/relationships/hyperlink" Target="https://www.minneapolisfed.org/article/2026/initially-delayed-the-pass-through-of-tariffs-to-consumer-prices-has-arrived" TargetMode="External"/><Relationship Id="rId12" Type="http://schemas.openxmlformats.org/officeDocument/2006/relationships/hyperlink" Target="https://www.bls.gov/news.release/archives/cpi_02122025.htm" TargetMode="External"/><Relationship Id="rId13" Type="http://schemas.openxmlformats.org/officeDocument/2006/relationships/hyperlink" Target="https://fred.stlouisfed.org/data/USACPALTT01IXNBM" TargetMode="External"/><Relationship Id="rId14" Type="http://schemas.openxmlformats.org/officeDocument/2006/relationships/hyperlink" Target="https://www.bls.gov/news.release/cpi.t07.htm" TargetMode="External"/><Relationship Id="rId15" Type="http://schemas.openxmlformats.org/officeDocument/2006/relationships/hyperlink" Target="https://www.ipsos.com/en-us/cost-living-remains-top-mind-voters-heading-2026-midterms" TargetMode="External"/><Relationship Id="rId16" Type="http://schemas.openxmlformats.org/officeDocument/2006/relationships/hyperlink" Target="https://www.cfr.org/articles/trumps-russian-diesel-deal-explained" TargetMode="External"/><Relationship Id="rId17" Type="http://schemas.openxmlformats.org/officeDocument/2006/relationships/hyperlink" Target="https://www.reuters.com/business/energy/us-aims-loan-about-third-heating-oil-reserve-bid-tame-prices-2026-10-21/" TargetMode="External"/><Relationship Id="rId18" Type="http://schemas.openxmlformats.org/officeDocument/2006/relationships/hyperlink" Target="https://www.bls.gov/news.release/cpi.t04.htm?stream=top" TargetMode="External"/><Relationship Id="rId19" Type="http://schemas.openxmlformats.org/officeDocument/2006/relationships/hyperlink" Target="https://www.bls.gov/news.release/empsit.nr0.htm" TargetMode="External"/><Relationship Id="rId20" Type="http://schemas.openxmlformats.org/officeDocument/2006/relationships/hyperlink" Target="https://www.bls.gov/charts/employment-situation/civilian-unemployment-rate.htm" TargetMode="External"/><Relationship Id="rId21" Type="http://schemas.openxmlformats.org/officeDocument/2006/relationships/hyperlink" Target="https://www.bls.gov/news.release/archives/laus_04082026.htm" TargetMode="External"/><Relationship Id="rId22" Type="http://schemas.openxmlformats.org/officeDocument/2006/relationships/hyperlink" Target="https://www.bls.gov/news.release/archives/laus_10202026.htm" TargetMode="External"/><Relationship Id="rId23" Type="http://schemas.openxmlformats.org/officeDocument/2006/relationships/hyperlink" Target="https://www.dol.gov/ui/data.pdf" TargetMode="External"/><Relationship Id="rId24" Type="http://schemas.openxmlformats.org/officeDocument/2006/relationships/hyperlink" Target="https://oui.doleta.gov/press/2025/013025.pdf" TargetMode="External"/><Relationship Id="rId25" Type="http://schemas.openxmlformats.org/officeDocument/2006/relationships/hyperlink" Target="https://www.rbc.com/en/economics/us-analysis/us-featured-analysis/frozen-job-ladder-the-entry-level-employment-conundrum-in-the-us/" TargetMode="External"/><Relationship Id="rId26" Type="http://schemas.openxmlformats.org/officeDocument/2006/relationships/hyperlink" Target="https://www.bls.gov/news.release/realer.t01.htm" TargetMode="External"/><Relationship Id="rId27" Type="http://schemas.openxmlformats.org/officeDocument/2006/relationships/hyperlink" Target="https://www.bls.gov/news.release/archives/realer_02132026.htm" TargetMode="External"/><Relationship Id="rId28" Type="http://schemas.openxmlformats.org/officeDocument/2006/relationships/hyperlink" Target="https://www.bea.gov/news/2026/gdp-third-estimate-industries-corporate-profits-state-gdp-and-state-personal-income-2nd" TargetMode="External"/><Relationship Id="rId29" Type="http://schemas.openxmlformats.org/officeDocument/2006/relationships/hyperlink" Target="https://news.kalshi.com/p/who-will-control-the-senate-2026" TargetMode="External"/><Relationship Id="rId30" Type="http://schemas.openxmlformats.org/officeDocument/2006/relationships/hyperlink" Target="https://www.cookpolitical.com/ratings" TargetMode="External"/><Relationship Id="rId31" Type="http://schemas.openxmlformats.org/officeDocument/2006/relationships/hyperlink" Target="https://www.270towin.com/2026-house-election/table/cook-political-report-2026-house-ratings/" TargetMode="External"/><Relationship Id="rId32" Type="http://schemas.openxmlformats.org/officeDocument/2006/relationships/image" Target="media/image1.png"/><Relationship Id="rId33" Type="http://schemas.openxmlformats.org/officeDocument/2006/relationships/comments" Target="comments.xml"/><Relationship Id="rId34" Type="http://schemas.openxmlformats.org/officeDocument/2006/relationships/hyperlink" Target="https://www.bls.gov/cpi/questions-and-answer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