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economic pressures shaping the 2026 midterms</w:t>
      </w:r>
    </w:p>
    <w:p>
      <w:r>
        <w:rPr>
          <w:sz w:val="18"/>
        </w:rPr>
        <w:t>Research draft for a professional finance audience • Data available October 21 2026</w:t>
      </w:r>
    </w:p>
    <w:p>
      <w:pPr>
        <w:pStyle w:val="Heading1"/>
      </w:pPr>
      <w:r>
        <w:t>Prices remain the central pressure</w:t>
      </w:r>
    </w:p>
    <w:p>
      <w:r>
        <w:t xml:space="preserve">The economic backdrop to the November midterms is a squeeze on purchasing power alongside a labor market that offers limited momentum. The Iran war has delivered a substantial energy shock, while tariffs have added pressure to imported goods. Together, they help explain the affordability debate. But attributing most of the entire increase in prices since January 2025 to those two forces would overstate the evidence. Shelter and other services still matter, and households experience the cumulative price level, not just the latest inflation rate. </w:t>
      </w:r>
      <w:r>
        <w:t>[</w:t>
      </w:r>
      <w:hyperlink r:id="rId10">
        <w:r>
          <w:rPr>
            <w:color w:val="285A7D"/>
          </w:rPr>
          <w:t>1</w:t>
        </w:r>
      </w:hyperlink>
      <w:r>
        <w:t>,</w:t>
      </w:r>
      <w:hyperlink r:id="rId11">
        <w:r>
          <w:rPr>
            <w:color w:val="285A7D"/>
          </w:rPr>
          <w:t>2</w:t>
        </w:r>
      </w:hyperlink>
      <w:r>
        <w:t>]</w:t>
      </w:r>
      <w:r/>
    </w:p>
    <w:p>
      <w:r>
        <w:t xml:space="preserve">The administration’s October 9 agreement with Russia illustrates the political urgency. It envisaged an initial 300,000 tonnes of diesel, followed by 500,000 tonnes in November and another million thereafter. The initial tranche is small relative to global requirements, limiting the prospect of rapid relief. Washington has also offered to lend up to 315,000 barrels from the Northeast Home Heating Oil Reserve, with deliveries expected by November 13. That schedule limits its usefulness before the November 3 vote, particularly in heating oil dependent New England. </w:t>
      </w:r>
      <w:r>
        <w:t>[</w:t>
      </w:r>
      <w:hyperlink r:id="rId12">
        <w:r>
          <w:rPr>
            <w:color w:val="285A7D"/>
          </w:rPr>
          <w:t>3</w:t>
        </w:r>
      </w:hyperlink>
      <w:r>
        <w:t>,</w:t>
      </w:r>
      <w:hyperlink r:id="rId13">
        <w:r>
          <w:rPr>
            <w:color w:val="285A7D"/>
          </w:rPr>
          <w:t>4</w:t>
        </w:r>
      </w:hyperlink>
      <w:r>
        <w:t>]</w:t>
      </w:r>
      <w:r/>
    </w:p>
    <w:p>
      <w:r>
        <w:t xml:space="preserve">Consumer prices were 6.1% higher in September than in January 2025. On the same January-to-September-of-year-two comparison, prices rose 13.5% under Biden, 4.0% during Trump’s first term and 3.4% during Obama’s second. These are cumulative changes in unadjusted CPI, not annual inflation rates or estimates of presidential responsibility. Different inherited conditions and shocks make them context, rather than a policy scorecard. </w:t>
      </w:r>
      <w:r>
        <w:t>[</w:t>
      </w:r>
      <w:hyperlink r:id="rId10">
        <w:r>
          <w:rPr>
            <w:color w:val="285A7D"/>
          </w:rPr>
          <w:t>1</w:t>
        </w:r>
      </w:hyperlink>
      <w:r>
        <w:t>,</w:t>
      </w:r>
      <w:hyperlink r:id="rId14">
        <w:r>
          <w:rPr>
            <w:color w:val="285A7D"/>
          </w:rPr>
          <w:t>5</w:t>
        </w:r>
      </w:hyperlink>
      <w:r>
        <w:t>,</w:t>
      </w:r>
      <w:hyperlink r:id="rId15">
        <w:r>
          <w:rPr>
            <w:color w:val="285A7D"/>
          </w:rPr>
          <w:t>6</w:t>
        </w:r>
      </w:hyperlink>
      <w:r>
        <w:t>]</w:t>
      </w:r>
      <w:r/>
    </w:p>
    <w:p>
      <w:commentRangeStart w:id="5"/>
      <w:r>
        <w:t xml:space="preserve">The latest acceleration is heavily energy driven. September CPI rose 0.6% month on month and 3.7% year on year; gasoline accounted for more than half the monthly increase. Energy prices rose 20.4% over the year, contributing 1.35 percentage points—roughly 36%—of annual inflation. Food contributed 0.34 points and core categories 2.05. Those contributions describe the latest twelve months, rather than the entire period since inauguration. </w:t>
      </w:r>
      <w:commentRangeEnd w:id="5"/>
      <w:r>
        <w:rPr>
          <w:rStyle w:val="CommentReference"/>
        </w:rPr>
        <w:commentReference w:id="5"/>
      </w:r>
      <w:r>
        <w:t>[</w:t>
      </w:r>
      <w:hyperlink r:id="rId10">
        <w:r>
          <w:rPr>
            <w:color w:val="285A7D"/>
          </w:rPr>
          <w:t>1</w:t>
        </w:r>
      </w:hyperlink>
      <w:r>
        <w:t>,</w:t>
      </w:r>
      <w:hyperlink r:id="rId16">
        <w:r>
          <w:rPr>
            <w:color w:val="285A7D"/>
          </w:rPr>
          <w:t>7</w:t>
        </w:r>
      </w:hyperlink>
      <w:r>
        <w:t>]</w:t>
      </w:r>
      <w:r/>
    </w:p>
    <w:p>
      <w:r>
        <w:t xml:space="preserve">There are signs of pressure beyond direct household fuel bills: airfares rose 22.4% over the year, while core CPI rose 0.3% in September and 2.6% annually. That is consistent with some spillover, but does not identify how much was caused by energy. Minneapolis Fed researchers estimate tariffs added 0.2–0.4 percentage points to core PCE inflation as of July; the measure and period differ from September CPI. Prices clearly matter politically: 47% of registered voters in an August 28–31 Reuters/Ipsos poll selected cost of living as the single most important factor in their midterm vote. </w:t>
      </w:r>
      <w:r>
        <w:t>[</w:t>
      </w:r>
      <w:hyperlink r:id="rId10">
        <w:r>
          <w:rPr>
            <w:color w:val="285A7D"/>
          </w:rPr>
          <w:t>1</w:t>
        </w:r>
      </w:hyperlink>
      <w:r>
        <w:t>,</w:t>
      </w:r>
      <w:hyperlink r:id="rId11">
        <w:r>
          <w:rPr>
            <w:color w:val="285A7D"/>
          </w:rPr>
          <w:t>2</w:t>
        </w:r>
      </w:hyperlink>
      <w:r>
        <w:t>,</w:t>
      </w:r>
      <w:hyperlink r:id="rId17">
        <w:r>
          <w:rPr>
            <w:color w:val="285A7D"/>
          </w:rPr>
          <w:t>8</w:t>
        </w:r>
      </w:hyperlink>
      <w:r>
        <w:t>]</w:t>
      </w:r>
      <w:r/>
    </w:p>
    <w:p>
      <w:commentRangeStart w:id="1"/>
      <w:r>
        <w:t xml:space="preserve">City CPI provides a local perspective on the battlegrounds. Annual inflation was 3.7% in the Detroit metro area and 4.2% in Philadelphia in August; Dallas recorded 3.0% and Minneapolis–St. Paul 3.6% in September. These metro-area readings are local proxies, not statewide estimates, and their reference months differ. </w:t>
      </w:r>
      <w:commentRangeEnd w:id="1"/>
      <w:r>
        <w:rPr>
          <w:rStyle w:val="CommentReference"/>
        </w:rPr>
        <w:commentReference w:id="1"/>
      </w:r>
      <w:r>
        <w:t>[</w:t>
      </w:r>
      <w:hyperlink r:id="rId18">
        <w:r>
          <w:rPr>
            <w:color w:val="285A7D"/>
          </w:rPr>
          <w:t>22</w:t>
        </w:r>
      </w:hyperlink>
      <w:r>
        <w:t>]</w:t>
      </w:r>
      <w:r/>
    </w:p>
    <w:p>
      <w:pPr>
        <w:pStyle w:val="Heading1"/>
      </w:pPr>
      <w:r>
        <w:t>Employment conditions differ across the map</w:t>
      </w:r>
    </w:p>
    <w:p>
      <w:r>
        <w:t xml:space="preserve">National unemployment was 4.2% in September, only 0.2 percentage points above January 2025. Payrolls increased by just 29,000 in September, following average monthly gains of 45,000 over the preceding year. That combination points to weak employment growth without a pronounced rise in the headline jobless rate. It also makes local conditions especially valuable when assessing the election. </w:t>
      </w:r>
      <w:r>
        <w:t>[</w:t>
      </w:r>
      <w:hyperlink r:id="rId19">
        <w:r>
          <w:rPr>
            <w:color w:val="285A7D"/>
          </w:rPr>
          <w:t>9</w:t>
        </w:r>
      </w:hyperlink>
      <w:r>
        <w:t>,</w:t>
      </w:r>
      <w:hyperlink r:id="rId20">
        <w:r>
          <w:rPr>
            <w:color w:val="285A7D"/>
          </w:rPr>
          <w:t>10</w:t>
        </w:r>
      </w:hyperlink>
      <w:r>
        <w:t>]</w:t>
      </w:r>
      <w:r/>
    </w:p>
    <w:p>
      <w:r>
        <w:t xml:space="preserve">The state map complicates any simple national deterioration narrative. Since January 2025, unemployment has fallen 1.4 points in Ohio, 0.3 in Michigan and Iowa, and 0.2 in Alaska. It is unchanged in Maine and Kansas, and 0.3 points higher in Texas. All seven states contain Senate toss-ups in Cook’s October 6 ratings. Across other competitive territory, unemployment increased 1.1 points in Minnesota, 0.9 in Florida and 0.7 in Arizona, but declined 0.4 in North Carolina. Changes measure unemployment, not job creation: participation and labor supply also affect the rate. </w:t>
      </w:r>
      <w:r>
        <w:t>[</w:t>
      </w:r>
      <w:hyperlink r:id="rId21">
        <w:r>
          <w:rPr>
            <w:color w:val="285A7D"/>
          </w:rPr>
          <w:t>11</w:t>
        </w:r>
      </w:hyperlink>
      <w:r>
        <w:t>,</w:t>
      </w:r>
      <w:hyperlink r:id="rId22">
        <w:r>
          <w:rPr>
            <w:color w:val="285A7D"/>
          </w:rPr>
          <w:t>12</w:t>
        </w:r>
      </w:hyperlink>
      <w:r>
        <w:t>,</w:t>
      </w:r>
      <w:hyperlink r:id="rId23">
        <w:r>
          <w:rPr>
            <w:color w:val="285A7D"/>
          </w:rPr>
          <w:t>18</w:t>
        </w:r>
      </w:hyperlink>
      <w:r>
        <w:t>]</w:t>
      </w:r>
      <w:r/>
    </w:p>
    <w:p>
      <w:commentRangeStart w:id="6"/>
      <w:r>
        <w:t xml:space="preserve">Young workers add a useful qualification. RBC Economics’ May research, Frozen job ladder, put recent graduates’ unemployment near 5.6% and underemployment above 41%, highlighting constrained entry opportunities. That helps explain why stable aggregate employment need not imply confidence among new workers. It does not establish that labor conditions caused any particular youth-backed electoral victory. </w:t>
      </w:r>
      <w:commentRangeEnd w:id="6"/>
      <w:r>
        <w:rPr>
          <w:rStyle w:val="CommentReference"/>
        </w:rPr>
        <w:commentReference w:id="6"/>
      </w:r>
      <w:r>
        <w:t>[</w:t>
      </w:r>
      <w:hyperlink r:id="rId24">
        <w:r>
          <w:rPr>
            <w:color w:val="285A7D"/>
          </w:rPr>
          <w:t>13</w:t>
        </w:r>
      </w:hyperlink>
      <w:r>
        <w:t>]</w:t>
      </w:r>
      <w:r/>
    </w:p>
    <w:p>
      <w:pPr>
        <w:pStyle w:val="Heading1"/>
      </w:pPr>
      <w:r>
        <w:t>Income growth and purchasing power</w:t>
      </w:r>
    </w:p>
    <w:p>
      <w:r>
        <w:t xml:space="preserve">Average hourly earnings rose 3.0% over the year to September, while average weekly earnings increased 3.6%. After inflation, hourly earnings fell 0.7% and weekly earnings slipped 0.1%; longer hours cushioned the latter. Since January 2025, nominal hourly and weekly earnings have risen about 5.5% and 6.4%, respectively. On the seasonally adjusted BLS measures, real hourly earnings are essentially unchanged and real weekly earnings are only about 0.9% higher. </w:t>
      </w:r>
      <w:r>
        <w:t>[</w:t>
      </w:r>
      <w:hyperlink r:id="rId25">
        <w:r>
          <w:rPr>
            <w:color w:val="285A7D"/>
          </w:rPr>
          <w:t>14</w:t>
        </w:r>
      </w:hyperlink>
      <w:r>
        <w:t>,</w:t>
      </w:r>
      <w:hyperlink r:id="rId26">
        <w:r>
          <w:rPr>
            <w:color w:val="285A7D"/>
          </w:rPr>
          <w:t>15</w:t>
        </w:r>
      </w:hyperlink>
      <w:r>
        <w:t>]</w:t>
      </w:r>
      <w:r/>
    </w:p>
    <w:p>
      <w:commentRangeStart w:id="2"/>
      <w:r>
        <w:t xml:space="preserve">BEA’s quarterly personal-income figures provide the broader state picture, capturing earnings, property income and transfers. In Q2 2026, the latest available quarter, nominal personal income rose in 49 states and DC. Growth ranged from 6.4% in Wisconsin to −4.2% in North Dakota, at annualized quarterly rates; the national increase was 4.7%. Wisconsin’s strength coincided with a 13.0% increase in transfer receipts, underscoring why income growth cannot be read simply as higher wages. </w:t>
      </w:r>
      <w:commentRangeEnd w:id="2"/>
      <w:r>
        <w:rPr>
          <w:rStyle w:val="CommentReference"/>
        </w:rPr>
        <w:commentReference w:id="2"/>
      </w:r>
      <w:r>
        <w:t>[</w:t>
      </w:r>
      <w:hyperlink r:id="rId27">
        <w:r>
          <w:rPr>
            <w:color w:val="285A7D"/>
          </w:rPr>
          <w:t>23</w:t>
        </w:r>
      </w:hyperlink>
      <w:r>
        <w:t>]</w:t>
      </w:r>
      <w:r/>
    </w:p>
    <w:p>
      <w:pPr>
        <w:pStyle w:val="Heading1"/>
      </w:pPr>
      <w:r>
        <w:t>Claims provide a check on the layoffs story</w:t>
      </w:r>
    </w:p>
    <w:p>
      <w:commentRangeStart w:id="3"/>
      <w:r>
        <w:t xml:space="preserve">Unemployment insurance data offer little evidence of a broad layoff wave. Initial claims were 199,000 in the week ended October 10, with a four-week average of 198,500. Continuing claims stood at 1.710 million in the week ended October 3. Both weekly readings were below the late-January 2025 snapshots of 207,000 and 1.858 million. These are selected weekly comparisons, not changes between monthly averages. Claims also omit many new entrants and workers ineligible for benefits. Low claims can therefore coexist with difficult job searches and weak wage bargaining. </w:t>
      </w:r>
      <w:commentRangeEnd w:id="3"/>
      <w:r>
        <w:rPr>
          <w:rStyle w:val="CommentReference"/>
        </w:rPr>
        <w:commentReference w:id="3"/>
      </w:r>
      <w:r>
        <w:t>[</w:t>
      </w:r>
      <w:hyperlink r:id="rId28">
        <w:r>
          <w:rPr>
            <w:color w:val="285A7D"/>
          </w:rPr>
          <w:t>16</w:t>
        </w:r>
      </w:hyperlink>
      <w:r>
        <w:t>,</w:t>
      </w:r>
      <w:hyperlink r:id="rId29">
        <w:r>
          <w:rPr>
            <w:color w:val="285A7D"/>
          </w:rPr>
          <w:t>17</w:t>
        </w:r>
      </w:hyperlink>
      <w:r>
        <w:t>]</w:t>
      </w:r>
      <w:r/>
    </w:p>
    <w:p>
      <w:commentRangeStart w:id="4"/>
      <w:r>
        <w:t xml:space="preserve">For control of Congress, start with the Senate’s arithmetic: Democrats need a net four-seat gain from the current 53–47 division. Track the seven toss-ups above, alongside North Carolina, rated Likely Democratic, and Democratic defenses in New Hampshire and Minnesota. Cook moved Minnesota to Lean Democratic on October 20. For the House, focus on districts: its October 16 ratings identify 21 toss-ups, including three in Michigan and two each in Florida, North Carolina, Ohio, Texas and Virginia. State economic averages supply context, but cannot substitute for district-level electorates. </w:t>
      </w:r>
      <w:commentRangeEnd w:id="4"/>
      <w:r>
        <w:rPr>
          <w:rStyle w:val="CommentReference"/>
        </w:rPr>
        <w:commentReference w:id="4"/>
      </w:r>
      <w:r>
        <w:t>[</w:t>
      </w:r>
      <w:hyperlink r:id="rId23">
        <w:r>
          <w:rPr>
            <w:color w:val="285A7D"/>
          </w:rPr>
          <w:t>18</w:t>
        </w:r>
      </w:hyperlink>
      <w:r>
        <w:t>,</w:t>
      </w:r>
      <w:hyperlink r:id="rId30">
        <w:r>
          <w:rPr>
            <w:color w:val="285A7D"/>
          </w:rPr>
          <w:t>19</w:t>
        </w:r>
      </w:hyperlink>
      <w:r>
        <w:t>,</w:t>
      </w:r>
      <w:hyperlink r:id="rId31">
        <w:r>
          <w:rPr>
            <w:color w:val="285A7D"/>
          </w:rPr>
          <w:t>20</w:t>
        </w:r>
      </w:hyperlink>
      <w:r>
        <w:t>]</w:t>
      </w:r>
      <w:r/>
    </w:p>
    <w:p>
      <w:r>
        <w:t>For investors, the question is how these pressures alter the scope for policy after the election. Pair race competitiveness with purchasing-power trends and labor-market resilience, then test those signals against local polling and turnout. A change in congressional control would reshape fiscal negotiations without mechanically reversing energy disruptions or tariff pass-through.</w:t>
      </w:r>
    </w:p>
    <w:p>
      <w:r>
        <w:br w:type="page"/>
      </w:r>
    </w:p>
    <w:p>
      <w:pPr>
        <w:pStyle w:val="Title"/>
      </w:pPr>
      <w:commentRangeStart w:id="0"/>
      <w:r>
        <w:t>State unemployment and congressional competition</w:t>
      </w:r>
      <w:commentRangeEnd w:id="0"/>
      <w:r>
        <w:rPr>
          <w:rStyle w:val="CommentReference"/>
        </w:rPr>
        <w:commentReference w:id="0"/>
      </w:r>
    </w:p>
    <w:p>
      <w:r>
        <w:drawing>
          <wp:inline xmlns:a="http://schemas.openxmlformats.org/drawingml/2006/main" xmlns:pic="http://schemas.openxmlformats.org/drawingml/2006/picture">
            <wp:extent cx="6400800" cy="4825955"/>
            <wp:docPr id="1" name="Picture 1"/>
            <wp:cNvGraphicFramePr>
              <a:graphicFrameLocks noChangeAspect="1"/>
            </wp:cNvGraphicFramePr>
            <a:graphic>
              <a:graphicData uri="http://schemas.openxmlformats.org/drawingml/2006/picture">
                <pic:pic>
                  <pic:nvPicPr>
                    <pic:cNvPr id="0" name="unemployment_map.png"/>
                    <pic:cNvPicPr/>
                  </pic:nvPicPr>
                  <pic:blipFill>
                    <a:blip r:embed="rId32"/>
                    <a:stretch>
                      <a:fillRect/>
                    </a:stretch>
                  </pic:blipFill>
                  <pic:spPr>
                    <a:xfrm>
                      <a:off x="0" y="0"/>
                      <a:ext cx="6400800" cy="4825955"/>
                    </a:xfrm>
                    <a:prstGeom prst="rect"/>
                  </pic:spPr>
                </pic:pic>
              </a:graphicData>
            </a:graphic>
          </wp:inline>
        </w:drawing>
      </w:r>
    </w:p>
    <w:p>
      <w:r>
        <w:rPr>
          <w:sz w:val="18"/>
        </w:rPr>
        <w:t>Sources: BLS LAUS; Cook Senate ratings October 6 and House ratings October 16, reproduced by Kalshi and 270toWin. September 2026 unemployment estimates are preliminary.</w:t>
      </w:r>
    </w:p>
    <w:p>
      <w:r>
        <w:br w:type="page"/>
      </w:r>
    </w:p>
    <w:p>
      <w:pPr>
        <w:pStyle w:val="Title"/>
      </w:pPr>
      <w:r>
        <w:t>Sources and calculation notes</w:t>
      </w:r>
    </w:p>
    <w:p>
      <w:pPr>
        <w:spacing w:after="120"/>
      </w:pPr>
      <w:r>
        <w:rPr>
          <w:sz w:val="18"/>
        </w:rPr>
        <w:t xml:space="preserve">1. </w:t>
      </w:r>
      <w:hyperlink r:id="rId10">
        <w:r>
          <w:rPr>
            <w:color w:val="285A7D"/>
          </w:rPr>
          <w:t>BLS September 2026 CPI and 12 month contribution table</w:t>
        </w:r>
      </w:hyperlink>
    </w:p>
    <w:p>
      <w:pPr>
        <w:spacing w:after="120"/>
      </w:pPr>
      <w:r>
        <w:rPr>
          <w:sz w:val="18"/>
        </w:rPr>
        <w:t xml:space="preserve">2. </w:t>
      </w:r>
      <w:hyperlink r:id="rId11">
        <w:r>
          <w:rPr>
            <w:color w:val="285A7D"/>
          </w:rPr>
          <w:t>Minneapolis Fed tariff pass through research</w:t>
        </w:r>
      </w:hyperlink>
    </w:p>
    <w:p>
      <w:pPr>
        <w:spacing w:after="120"/>
      </w:pPr>
      <w:r>
        <w:rPr>
          <w:sz w:val="18"/>
        </w:rPr>
        <w:t xml:space="preserve">3. </w:t>
      </w:r>
      <w:hyperlink r:id="rId12">
        <w:r>
          <w:rPr>
            <w:color w:val="285A7D"/>
          </w:rPr>
          <w:t>Council on Foreign Relations Russian diesel agreement October 19</w:t>
        </w:r>
      </w:hyperlink>
    </w:p>
    <w:p>
      <w:pPr>
        <w:spacing w:after="120"/>
      </w:pPr>
      <w:r>
        <w:rPr>
          <w:sz w:val="18"/>
        </w:rPr>
        <w:t xml:space="preserve">4. </w:t>
      </w:r>
      <w:hyperlink r:id="rId13">
        <w:r>
          <w:rPr>
            <w:color w:val="285A7D"/>
          </w:rPr>
          <w:t>Reuters heating oil reserve offer October 21</w:t>
        </w:r>
      </w:hyperlink>
    </w:p>
    <w:p>
      <w:pPr>
        <w:spacing w:after="120"/>
      </w:pPr>
      <w:r>
        <w:rPr>
          <w:sz w:val="18"/>
        </w:rPr>
        <w:t xml:space="preserve">5. </w:t>
      </w:r>
      <w:hyperlink r:id="rId14">
        <w:r>
          <w:rPr>
            <w:color w:val="285A7D"/>
          </w:rPr>
          <w:t>BLS January 2025 CPI baseline</w:t>
        </w:r>
      </w:hyperlink>
    </w:p>
    <w:p>
      <w:pPr>
        <w:spacing w:after="120"/>
      </w:pPr>
      <w:r>
        <w:rPr>
          <w:sz w:val="18"/>
        </w:rPr>
        <w:t xml:space="preserve">6. </w:t>
      </w:r>
      <w:hyperlink r:id="rId15">
        <w:r>
          <w:rPr>
            <w:color w:val="285A7D"/>
          </w:rPr>
          <w:t>BLS historical CPI series via FRED</w:t>
        </w:r>
      </w:hyperlink>
    </w:p>
    <w:p>
      <w:pPr>
        <w:spacing w:after="120"/>
      </w:pPr>
      <w:r>
        <w:rPr>
          <w:sz w:val="18"/>
        </w:rPr>
        <w:t xml:space="preserve">7. </w:t>
      </w:r>
      <w:hyperlink r:id="rId16">
        <w:r>
          <w:rPr>
            <w:color w:val="285A7D"/>
          </w:rPr>
          <w:t>BLS September 2026 CPI contributions Table 7</w:t>
        </w:r>
      </w:hyperlink>
    </w:p>
    <w:p>
      <w:pPr>
        <w:spacing w:after="120"/>
      </w:pPr>
      <w:r>
        <w:rPr>
          <w:sz w:val="18"/>
        </w:rPr>
        <w:t xml:space="preserve">8. </w:t>
      </w:r>
      <w:hyperlink r:id="rId17">
        <w:r>
          <w:rPr>
            <w:color w:val="285A7D"/>
          </w:rPr>
          <w:t>Reuters Ipsos cost of living poll August 28 to 31</w:t>
        </w:r>
      </w:hyperlink>
    </w:p>
    <w:p>
      <w:pPr>
        <w:spacing w:after="120"/>
      </w:pPr>
      <w:r>
        <w:rPr>
          <w:sz w:val="18"/>
        </w:rPr>
        <w:t xml:space="preserve">9. </w:t>
      </w:r>
      <w:hyperlink r:id="rId19">
        <w:r>
          <w:rPr>
            <w:color w:val="285A7D"/>
          </w:rPr>
          <w:t>BLS September 2026 employment report</w:t>
        </w:r>
      </w:hyperlink>
    </w:p>
    <w:p>
      <w:pPr>
        <w:spacing w:after="120"/>
      </w:pPr>
      <w:r>
        <w:rPr>
          <w:sz w:val="18"/>
        </w:rPr>
        <w:t xml:space="preserve">10. </w:t>
      </w:r>
      <w:hyperlink r:id="rId20">
        <w:r>
          <w:rPr>
            <w:color w:val="285A7D"/>
          </w:rPr>
          <w:t>BLS unemployment rate history</w:t>
        </w:r>
      </w:hyperlink>
    </w:p>
    <w:p>
      <w:pPr>
        <w:spacing w:after="120"/>
      </w:pPr>
      <w:r>
        <w:rPr>
          <w:sz w:val="18"/>
        </w:rPr>
        <w:t xml:space="preserve">11. </w:t>
      </w:r>
      <w:hyperlink r:id="rId21">
        <w:r>
          <w:rPr>
            <w:color w:val="285A7D"/>
          </w:rPr>
          <w:t>BLS January 2025 state rates revised April 2026 Table 1</w:t>
        </w:r>
      </w:hyperlink>
    </w:p>
    <w:p>
      <w:pPr>
        <w:spacing w:after="120"/>
      </w:pPr>
      <w:r>
        <w:rPr>
          <w:sz w:val="18"/>
        </w:rPr>
        <w:t xml:space="preserve">12. </w:t>
      </w:r>
      <w:hyperlink r:id="rId22">
        <w:r>
          <w:rPr>
            <w:color w:val="285A7D"/>
          </w:rPr>
          <w:t>BLS September 2026 state rates Table 1</w:t>
        </w:r>
      </w:hyperlink>
    </w:p>
    <w:p>
      <w:pPr>
        <w:spacing w:after="120"/>
      </w:pPr>
      <w:r>
        <w:rPr>
          <w:sz w:val="18"/>
        </w:rPr>
        <w:t xml:space="preserve">13. </w:t>
      </w:r>
      <w:hyperlink r:id="rId24">
        <w:r>
          <w:rPr>
            <w:color w:val="285A7D"/>
          </w:rPr>
          <w:t>RBC Frozen job ladder May 29 2026</w:t>
        </w:r>
      </w:hyperlink>
    </w:p>
    <w:p>
      <w:pPr>
        <w:spacing w:after="120"/>
      </w:pPr>
      <w:r>
        <w:rPr>
          <w:sz w:val="18"/>
        </w:rPr>
        <w:t xml:space="preserve">14. </w:t>
      </w:r>
      <w:hyperlink r:id="rId25">
        <w:r>
          <w:rPr>
            <w:color w:val="285A7D"/>
          </w:rPr>
          <w:t>BLS September 2026 real earnings Table A1</w:t>
        </w:r>
      </w:hyperlink>
    </w:p>
    <w:p>
      <w:pPr>
        <w:spacing w:after="120"/>
      </w:pPr>
      <w:r>
        <w:rPr>
          <w:sz w:val="18"/>
        </w:rPr>
        <w:t xml:space="preserve">15. </w:t>
      </w:r>
      <w:hyperlink r:id="rId26">
        <w:r>
          <w:rPr>
            <w:color w:val="285A7D"/>
          </w:rPr>
          <w:t>BLS January 2025 earnings revised February 2026 Table A1</w:t>
        </w:r>
      </w:hyperlink>
    </w:p>
    <w:p>
      <w:pPr>
        <w:spacing w:after="120"/>
      </w:pPr>
      <w:r>
        <w:rPr>
          <w:sz w:val="18"/>
        </w:rPr>
        <w:t xml:space="preserve">16. </w:t>
      </w:r>
      <w:hyperlink r:id="rId28">
        <w:r>
          <w:rPr>
            <w:color w:val="285A7D"/>
          </w:rPr>
          <w:t>Department of Labor weekly claims October 15 2026</w:t>
        </w:r>
      </w:hyperlink>
    </w:p>
    <w:p>
      <w:pPr>
        <w:spacing w:after="120"/>
      </w:pPr>
      <w:r>
        <w:rPr>
          <w:sz w:val="18"/>
        </w:rPr>
        <w:t xml:space="preserve">17. </w:t>
      </w:r>
      <w:hyperlink r:id="rId29">
        <w:r>
          <w:rPr>
            <w:color w:val="285A7D"/>
          </w:rPr>
          <w:t>Department of Labor weekly claims January 30 2025</w:t>
        </w:r>
      </w:hyperlink>
    </w:p>
    <w:p>
      <w:pPr>
        <w:spacing w:after="120"/>
      </w:pPr>
      <w:r>
        <w:rPr>
          <w:sz w:val="18"/>
        </w:rPr>
        <w:t xml:space="preserve">18. </w:t>
      </w:r>
      <w:hyperlink r:id="rId23">
        <w:r>
          <w:rPr>
            <w:color w:val="285A7D"/>
          </w:rPr>
          <w:t>Cook Senate ratings October 6 reproduced by Kalshi</w:t>
        </w:r>
      </w:hyperlink>
    </w:p>
    <w:p>
      <w:pPr>
        <w:spacing w:after="120"/>
      </w:pPr>
      <w:r>
        <w:rPr>
          <w:sz w:val="18"/>
        </w:rPr>
        <w:t xml:space="preserve">19. </w:t>
      </w:r>
      <w:hyperlink r:id="rId30">
        <w:r>
          <w:rPr>
            <w:color w:val="285A7D"/>
          </w:rPr>
          <w:t>Cook House ratings October 16 reproduced by 270toWin</w:t>
        </w:r>
      </w:hyperlink>
    </w:p>
    <w:p>
      <w:pPr>
        <w:spacing w:after="120"/>
      </w:pPr>
      <w:r>
        <w:rPr>
          <w:sz w:val="18"/>
        </w:rPr>
        <w:t xml:space="preserve">20. </w:t>
      </w:r>
      <w:hyperlink r:id="rId31">
        <w:r>
          <w:rPr>
            <w:color w:val="285A7D"/>
          </w:rPr>
          <w:t>Cook October 20 rating changes</w:t>
        </w:r>
      </w:hyperlink>
    </w:p>
    <w:p>
      <w:pPr>
        <w:spacing w:after="120"/>
      </w:pPr>
      <w:r>
        <w:rPr>
          <w:sz w:val="18"/>
        </w:rPr>
        <w:t xml:space="preserve">21. </w:t>
      </w:r>
      <w:hyperlink r:id="rId34">
        <w:r>
          <w:rPr>
            <w:color w:val="285A7D"/>
          </w:rPr>
          <w:t>BLS CPI geographic coverage</w:t>
        </w:r>
      </w:hyperlink>
    </w:p>
    <w:p>
      <w:pPr>
        <w:spacing w:after="120"/>
      </w:pPr>
      <w:r>
        <w:rPr>
          <w:sz w:val="18"/>
        </w:rPr>
        <w:t xml:space="preserve">22. </w:t>
      </w:r>
      <w:hyperlink r:id="rId18">
        <w:r>
          <w:rPr>
            <w:color w:val="285A7D"/>
          </w:rPr>
          <w:t>BLS September 2026 local CPI Table 4</w:t>
        </w:r>
      </w:hyperlink>
    </w:p>
    <w:p>
      <w:pPr>
        <w:spacing w:after="120"/>
      </w:pPr>
      <w:r>
        <w:rPr>
          <w:sz w:val="18"/>
        </w:rPr>
        <w:t xml:space="preserve">23. </w:t>
      </w:r>
      <w:hyperlink r:id="rId27">
        <w:r>
          <w:rPr>
            <w:color w:val="285A7D"/>
          </w:rPr>
          <w:t>BEA quarterly state personal income September 30 2026 release</w:t>
        </w:r>
      </w:hyperlink>
    </w:p>
    <w:p>
      <w:pPr>
        <w:pStyle w:val="Heading1"/>
      </w:pPr>
      <w:r>
        <w:t>Cumulative CPI comparisons</w:t>
      </w:r>
    </w:p>
    <w:p>
      <w:r>
        <w:rPr>
          <w:sz w:val="18"/>
        </w:rPr>
        <w:t>Formula: 100 × (ending index / starting index − 1). CPI-U, not seasonally adjusted: Jan 2025 317.671 to Sep 2026 336.940; Jan 2021 261.582 to Sep 2022 296.808; Jan 2017 242.839 to Sep 2018 252.439; Jan 2013 230.280 to Sep 2014 238.031. Each interval is 20 months. The comparison uses the same calendar endpoints; January includes days before inauguration.</w:t>
      </w:r>
    </w:p>
    <w:p>
      <w:r>
        <w:rPr>
          <w:sz w:val="18"/>
        </w:rPr>
        <w:t>Earnings calculations use the revised January 2025 baseline in the February 2026 release: hourly $35.84, weekly $1,222.14, real hourly $11.24 and real weekly $383.16. September 2026: $37.81, $1,300.66, $11.24 and $386.76. Real earnings use seasonally adjusted CPI and therefore should not be deflated again using the 6.1% unadjusted CPI comparison. Energy’s annual contribution share is 1.353 / (1.353 + 0.338 + 2.046), approximately 36%.</w:t>
      </w:r>
    </w:p>
    <w:sectPr w:rsidR="00FC693F" w:rsidRPr="0006063C" w:rsidSect="00034616">
      <w:footerReference w:type="default" r:id="rId9"/>
      <w:pgSz w:w="12240" w:h="15840"/>
      <w:pgMar w:top="1008" w:right="1080" w:bottom="936" w:left="108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search notes" w:initials="RN" w:date="2026-10-21T18:57:32Z">
    <w:p>
      <w:pPr>
        <w:pStyle w:val="CommentText"/>
      </w:pPr>
      <w:r>
        <w:rPr>
          <w:rStyle w:val="CommentReference"/>
        </w:rPr>
        <w:annotationRef/>
      </w:r>
      <w:r>
        <w:t>Unemployment map methodology: BLS LAUS Tables 1, April 8 and October 20 2026. Each tile represents one state or DC; positions are schematic. January 2025 rates incorporate the April 2026 revisions. Changes are descriptive and have not been tested for statistical significance. The outlines identify the seven Senate toss-ups in the dated snapshot, not every competitive Senate race. North Carolina, New Hampshire, Minnesota and South Carolina also warrant attention. House markers count toss-up districts only; lean races remain relevant. DC has no voting House or Senate seat.</w:t>
      </w:r>
    </w:p>
  </w:comment>
  <w:comment w:id="1" w:author="Research notes" w:initials="RN" w:date="2026-10-21T18:57:32Z">
    <w:p>
      <w:pPr>
        <w:pStyle w:val="CommentText"/>
      </w:pPr>
      <w:r>
        <w:rPr>
          <w:rStyle w:val="CommentReference"/>
        </w:rPr>
        <w:annotationRef/>
      </w:r>
      <w:r>
        <w:t>Inflation map: use BLS all-items CPI-U for selected local areas as city/metro proxies. Plot metro markers over state outlines, with congressional competition overlaid; do not fill an entire state with one city’s CPI. For the latest snapshot use year-on-year changes and label each observation August or September 2026. For a common-period comparison use H1 2026 versus H1 2025 averages of published observations, noting monthly/bimonthly sampling. For a since-January-2025 comparison, January-to-September is available only for monthly/odd-month areas; even-month areas require a separately labelled February-to-August window, not an invented January value. Preserve the full metro footprint when it spans states. Detroit covers part of Michigan; Minneapolis–St. Paul spans Minnesota/Wisconsin; Philadelphia spans Pennsylvania/New Jersey/Delaware/Maryland; Dallas and Houston cover different parts of Texas. For Maine, Iowa, Kansas and Ohio, there is no dedicated local index in this BLS release: leave coverage blank or use a distinctly labelled Census-region fallback. BLS warns that local indexes are more volatile. The city CPI map remains to be built; verified local readings have been added to the draft. Source: https://www.bls.gov/news.release/cpi.t04.htm?stream=top</w:t>
      </w:r>
    </w:p>
  </w:comment>
  <w:comment w:id="2" w:author="Research notes" w:initials="RN" w:date="2026-10-21T18:57:32Z">
    <w:p>
      <w:pPr>
        <w:pStyle w:val="CommentText"/>
      </w:pPr>
      <w:r>
        <w:rPr>
          <w:rStyle w:val="CommentReference"/>
        </w:rPr>
        <w:annotationRef/>
      </w:r>
      <w:r>
        <w:t>Income map: replace the state CES wage-based design with BEA SQINC1, line 1, quarterly total personal income in current dollars, seasonally adjusted at annual rates. Use Q1 2025 as the quarterly baseline and Q2 2026 as the latest endpoint as of October 21. Calculate cumulative growth as 100 × (PI in Q2 2026 / PI in Q1 2025 − 1); do not annualize this cumulative ratio or sum annualized quarterly rates. Q1 is a quarterly baseline, not an exact January observation. Use all states from the September 30 2026 vintage, which revised earlier quarters. Total personal income is broader than wages and includes property income and transfers; label the map nominal personal-income growth. A per-capita sensitivity check can help distinguish population growth from income gains per resident. Do not deflate statewide income with one city’s CPI and present it as official real state income. The full state map and cumulative Q1 2025-to-Q2 2026 calculations remain to be populated in Macrobond. The draft’s 6.4%, −4.2% and 4.7% figures are Q2 versus Q1 2026 growth at annual rates, not cumulative growth since Q1 2025. Source: https://www.bea.gov/data/income-saving/personal-income-by-state</w:t>
      </w:r>
    </w:p>
  </w:comment>
  <w:comment w:id="3" w:author="Research notes" w:initials="RN" w:date="2026-10-21T18:57:32Z">
    <w:p>
      <w:pPr>
        <w:pStyle w:val="CommentText"/>
      </w:pPr>
      <w:r>
        <w:rPr>
          <w:rStyle w:val="CommentReference"/>
        </w:rPr>
        <w:annotationRef/>
      </w:r>
      <w:r>
        <w:t>Claims map: use Department of Labor state initial and continued claims. State weekly releases are generally unadjusted: compare matched 13-week periods year on year rather than raw October against January. Normalize initial claims by covered employment and show continuing claims as an insured unemployment rate. For the January 2025 baseline, use a consistently seasonally adjusted state series if available. Continuing claims are affected by eligibility, duration and benefit exhaustion. This map remains to be built.</w:t>
      </w:r>
    </w:p>
  </w:comment>
  <w:comment w:id="4" w:author="Research notes" w:initials="RN" w:date="2026-10-21T18:57:32Z">
    <w:p>
      <w:pPr>
        <w:pStyle w:val="CommentText"/>
      </w:pPr>
      <w:r>
        <w:rPr>
          <w:rStyle w:val="CommentReference"/>
        </w:rPr>
        <w:annotationRef/>
      </w:r>
      <w:r>
        <w:t>Election overlay: keep economic fill colors independent of party colors. Reuse the heavy border for Senate toss-ups and H counts for House toss-ups. Add a separate watch list for lean and likely races, with ratings dates. For a geographic House map, use 2026 district boundaries. Refresh the ratings immediately before publication.</w:t>
      </w:r>
    </w:p>
  </w:comment>
  <w:comment w:id="5" w:author="Research notes" w:initials="RN" w:date="2026-10-21T18:57:32Z">
    <w:p>
      <w:pPr>
        <w:pStyle w:val="CommentText"/>
      </w:pPr>
      <w:r>
        <w:rPr>
          <w:rStyle w:val="CommentReference"/>
        </w:rPr>
        <w:annotationRef/>
      </w:r>
      <w:r>
        <w:t>Inflation decomposition: the contributions cited are for the latest twelve months. A January 2025-to-date decomposition still requires a chain-consistent contribution calculation and is not inferred from current basket weights.</w:t>
      </w:r>
    </w:p>
  </w:comment>
  <w:comment w:id="6" w:author="Research notes" w:initials="RN" w:date="2026-10-21T18:57:32Z">
    <w:p>
      <w:pPr>
        <w:pStyle w:val="CommentText"/>
      </w:pPr>
      <w:r>
        <w:rPr>
          <w:rStyle w:val="CommentReference"/>
        </w:rPr>
        <w:annotationRef/>
      </w:r>
      <w:r>
        <w:t>Editorial choice: retained the RBC youth-employment reference and omitted the Mamdani analogy because the economic evidence does not establish electoral causation.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October 21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bls.gov/news.release/cpi.nr0.htm" TargetMode="External"/><Relationship Id="rId11" Type="http://schemas.openxmlformats.org/officeDocument/2006/relationships/hyperlink" Target="https://www.minneapolisfed.org/article/2026/initially-delayed-the-pass-through-of-tariffs-to-consumer-prices-has-arrived" TargetMode="External"/><Relationship Id="rId12" Type="http://schemas.openxmlformats.org/officeDocument/2006/relationships/hyperlink" Target="https://www.cfr.org/articles/trumps-russian-diesel-deal-explained" TargetMode="External"/><Relationship Id="rId13" Type="http://schemas.openxmlformats.org/officeDocument/2006/relationships/hyperlink" Target="https://www.reuters.com/business/energy/us-aims-loan-about-third-heating-oil-reserve-bid-tame-prices-2026-10-21/" TargetMode="External"/><Relationship Id="rId14" Type="http://schemas.openxmlformats.org/officeDocument/2006/relationships/hyperlink" Target="https://www.bls.gov/news.release/archives/cpi_02122025.htm" TargetMode="External"/><Relationship Id="rId15" Type="http://schemas.openxmlformats.org/officeDocument/2006/relationships/hyperlink" Target="https://fred.stlouisfed.org/data/USACPALTT01IXNBM" TargetMode="External"/><Relationship Id="rId16" Type="http://schemas.openxmlformats.org/officeDocument/2006/relationships/hyperlink" Target="https://www.bls.gov/news.release/cpi.t07.htm" TargetMode="External"/><Relationship Id="rId17" Type="http://schemas.openxmlformats.org/officeDocument/2006/relationships/hyperlink" Target="https://www.ipsos.com/en-us/cost-living-remains-top-mind-voters-heading-2026-midterms" TargetMode="External"/><Relationship Id="rId18" Type="http://schemas.openxmlformats.org/officeDocument/2006/relationships/hyperlink" Target="https://www.bls.gov/news.release/cpi.t04.htm?stream=top" TargetMode="External"/><Relationship Id="rId19" Type="http://schemas.openxmlformats.org/officeDocument/2006/relationships/hyperlink" Target="https://www.bls.gov/news.release/empsit.nr0.htm" TargetMode="External"/><Relationship Id="rId20" Type="http://schemas.openxmlformats.org/officeDocument/2006/relationships/hyperlink" Target="https://www.bls.gov/charts/employment-situation/civilian-unemployment-rate.htm" TargetMode="External"/><Relationship Id="rId21" Type="http://schemas.openxmlformats.org/officeDocument/2006/relationships/hyperlink" Target="https://www.bls.gov/news.release/archives/laus_04082026.htm" TargetMode="External"/><Relationship Id="rId22" Type="http://schemas.openxmlformats.org/officeDocument/2006/relationships/hyperlink" Target="https://www.bls.gov/news.release/archives/laus_10202026.htm" TargetMode="External"/><Relationship Id="rId23" Type="http://schemas.openxmlformats.org/officeDocument/2006/relationships/hyperlink" Target="https://news.kalshi.com/p/who-will-control-the-senate-2026" TargetMode="External"/><Relationship Id="rId24" Type="http://schemas.openxmlformats.org/officeDocument/2006/relationships/hyperlink" Target="https://www.rbc.com/en/economics/us-analysis/us-featured-analysis/frozen-job-ladder-the-entry-level-employment-conundrum-in-the-us/" TargetMode="External"/><Relationship Id="rId25" Type="http://schemas.openxmlformats.org/officeDocument/2006/relationships/hyperlink" Target="https://www.bls.gov/news.release/realer.t01.htm" TargetMode="External"/><Relationship Id="rId26" Type="http://schemas.openxmlformats.org/officeDocument/2006/relationships/hyperlink" Target="https://www.bls.gov/news.release/archives/realer_02132026.htm" TargetMode="External"/><Relationship Id="rId27" Type="http://schemas.openxmlformats.org/officeDocument/2006/relationships/hyperlink" Target="https://www.bea.gov/news/2026/gdp-third-estimate-industries-corporate-profits-state-gdp-and-state-personal-income-2nd" TargetMode="External"/><Relationship Id="rId28" Type="http://schemas.openxmlformats.org/officeDocument/2006/relationships/hyperlink" Target="https://www.dol.gov/ui/data.pdf" TargetMode="External"/><Relationship Id="rId29" Type="http://schemas.openxmlformats.org/officeDocument/2006/relationships/hyperlink" Target="https://oui.doleta.gov/press/2025/013025.pdf" TargetMode="External"/><Relationship Id="rId30" Type="http://schemas.openxmlformats.org/officeDocument/2006/relationships/hyperlink" Target="https://www.270towin.com/2026-house-election/table/cook-political-report-2026-house-ratings/" TargetMode="External"/><Relationship Id="rId31" Type="http://schemas.openxmlformats.org/officeDocument/2006/relationships/hyperlink" Target="https://www.cookpolitical.com/ratings" TargetMode="External"/><Relationship Id="rId32" Type="http://schemas.openxmlformats.org/officeDocument/2006/relationships/image" Target="media/image1.png"/><Relationship Id="rId33" Type="http://schemas.openxmlformats.org/officeDocument/2006/relationships/comments" Target="comments.xml"/><Relationship Id="rId34" Type="http://schemas.openxmlformats.org/officeDocument/2006/relationships/hyperlink" Target="https://www.bls.gov/cpi/questions-and-answer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