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drawing>
          <wp:inline distT="0" distB="0" distL="0" distR="0">
            <wp:extent cx="762000" cy="762000"/>
            <wp:effectExtent t="0" r="0" b="0" l="0"/>
            <wp:docPr id="1" name="City of Riverton seal" descr="Seal of the City of Riverton, incorporated 1887." title="City of Riverton s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762000" cy="762000"/>
                    </a:xfrm>
                    <a:prstGeom prst="rect">
                      <a:avLst/>
                    </a:prstGeom>
                  </pic:spPr>
                </pic:pic>
              </a:graphicData>
            </a:graphic>
          </wp:inline>
        </w:drawing>
      </w:r>
    </w:p>
    <w:p>
      <w:pPr>
        <w:pStyle w:val="Heading1"/>
        <w:jc w:val="center"/>
      </w:pPr>
      <w:r>
        <w:t xml:space="preserve">Public notice: water main replacement on Mill Street</w:t>
      </w:r>
    </w:p>
    <w:p>
      <w:pPr>
        <w:spacing w:after="300"/>
        <w:jc w:val="center"/>
      </w:pPr>
      <w:r>
        <w:rPr>
          <w:sz w:val="22"/>
          <w:szCs w:val="22"/>
        </w:rPr>
        <w:t xml:space="preserve">Posted March 20, 2026 by the Department of Public Works</w:t>
      </w:r>
    </w:p>
    <w:p>
      <w:pPr>
        <w:pStyle w:val="Heading2"/>
      </w:pPr>
      <w:r>
        <w:t xml:space="preserve">What is happening</w:t>
      </w:r>
    </w:p>
    <w:p>
      <w:r>
        <w:t xml:space="preserve">The city will replace roughly 1,800 feet of water main under Mill Street between Water Street and Rail Avenue. The pipe dates to 1954 and has failed three times since 2023. Work begins Monday, April 6 and is expected to finish by Friday, May 15.</w:t>
      </w:r>
    </w:p>
    <w:p>
      <w:pPr>
        <w:pStyle w:val="Heading2"/>
      </w:pPr>
      <w:r>
        <w:t xml:space="preserve">What to expect</w:t>
      </w:r>
    </w:p>
    <w:p>
      <w:pPr>
        <w:pStyle w:val="ListParagraph"/>
        <w:numPr>
          <w:ilvl w:val="0"/>
          <w:numId w:val="2"/>
        </w:numPr>
      </w:pPr>
      <w:r>
        <w:t xml:space="preserve">Water service will be interrupted for up to six hours on the day your block is connected. You will get a door hanger 48 hours ahead.</w:t>
      </w:r>
    </w:p>
    <w:p>
      <w:pPr>
        <w:pStyle w:val="ListParagraph"/>
        <w:numPr>
          <w:ilvl w:val="0"/>
          <w:numId w:val="2"/>
        </w:numPr>
      </w:pPr>
      <w:r>
        <w:t xml:space="preserve">Mill Street will be one lane, alternating, from 7:00 a.m. to 5:00 p.m. on weekdays.</w:t>
      </w:r>
    </w:p>
    <w:p>
      <w:pPr>
        <w:pStyle w:val="ListParagraph"/>
        <w:numPr>
          <w:ilvl w:val="0"/>
          <w:numId w:val="2"/>
        </w:numPr>
      </w:pPr>
      <w:r>
        <w:t xml:space="preserve">Parking on the east side of Mill Street is suspended for the duration.</w:t>
      </w:r>
    </w:p>
    <w:p>
      <w:pPr>
        <w:pStyle w:val="ListParagraph"/>
        <w:numPr>
          <w:ilvl w:val="0"/>
          <w:numId w:val="2"/>
        </w:numPr>
      </w:pPr>
      <w:r>
        <w:t xml:space="preserve">Trash and recycling collection stays on its normal schedule. Place carts at the curb as usual.</w:t>
      </w:r>
    </w:p>
    <w:p>
      <w:pPr>
        <w:pStyle w:val="Heading2"/>
        <w:spacing w:before="200"/>
      </w:pPr>
      <w:r>
        <w:t xml:space="preserve">Schedule by block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200"/>
      </w:tblGrid>
      <w:tr>
        <w:trPr>
          <w:tblHeader/>
        </w:trPr>
        <w:tc>
          <w:tcPr>
            <w:tcW w:type="dxa" w:w="3200"/>
            <w:shd w:fill="150B4F" w:val="clear"/>
            <w:tcMar>
              <w:top w:type="dxa" w:w="80"/>
              <w:left w:type="dxa" w:w="120"/>
              <w:bottom w:type="dxa" w:w="80"/>
              <w:right w:type="dxa" w:w="120"/>
            </w:tcMar>
          </w:tcPr>
          <w:p>
            <w:r>
              <w:rPr>
                <w:b/>
                <w:bCs/>
                <w:color w:val="FFFFFF"/>
              </w:rPr>
              <w:t xml:space="preserve">Block</w:t>
            </w:r>
          </w:p>
        </w:tc>
        <w:tc>
          <w:tcPr>
            <w:tcW w:type="dxa" w:w="3000"/>
            <w:shd w:fill="150B4F" w:val="clear"/>
            <w:tcMar>
              <w:top w:type="dxa" w:w="80"/>
              <w:left w:type="dxa" w:w="120"/>
              <w:bottom w:type="dxa" w:w="80"/>
              <w:right w:type="dxa" w:w="120"/>
            </w:tcMar>
          </w:tcPr>
          <w:p>
            <w:r>
              <w:rPr>
                <w:b/>
                <w:bCs/>
                <w:color w:val="FFFFFF"/>
              </w:rPr>
              <w:t xml:space="preserve">Service interruption</w:t>
            </w:r>
          </w:p>
        </w:tc>
        <w:tc>
          <w:tcPr>
            <w:tcW w:type="dxa" w:w="3200"/>
            <w:shd w:fill="150B4F" w:val="clear"/>
            <w:tcMar>
              <w:top w:type="dxa" w:w="80"/>
              <w:left w:type="dxa" w:w="120"/>
              <w:bottom w:type="dxa" w:w="80"/>
              <w:right w:type="dxa" w:w="120"/>
            </w:tcMar>
          </w:tcPr>
          <w:p>
            <w:r>
              <w:rPr>
                <w:b/>
                <w:bCs/>
                <w:color w:val="FFFFFF"/>
              </w:rPr>
              <w:t xml:space="preserve">Detour in effect</w:t>
            </w:r>
          </w:p>
        </w:tc>
      </w:tr>
      <w:tr>
        <w:tc>
          <w:tcPr>
            <w:tcW w:type="dxa" w:w="3200"/>
            <w:tcMar>
              <w:top w:type="dxa" w:w="80"/>
              <w:left w:type="dxa" w:w="120"/>
              <w:bottom w:type="dxa" w:w="80"/>
              <w:right w:type="dxa" w:w="120"/>
            </w:tcMar>
          </w:tcPr>
          <w:p>
            <w:r>
              <w:t xml:space="preserve">100 to 199 Mill</w:t>
            </w:r>
          </w:p>
        </w:tc>
        <w:tc>
          <w:tcPr>
            <w:tcW w:type="dxa" w:w="3000"/>
            <w:tcMar>
              <w:top w:type="dxa" w:w="80"/>
              <w:left w:type="dxa" w:w="120"/>
              <w:bottom w:type="dxa" w:w="80"/>
              <w:right w:type="dxa" w:w="120"/>
            </w:tcMar>
          </w:tcPr>
          <w:p>
            <w:r>
              <w:t xml:space="preserve">April 6 to April 10</w:t>
            </w:r>
          </w:p>
        </w:tc>
        <w:tc>
          <w:tcPr>
            <w:tcW w:type="dxa" w:w="3200"/>
            <w:tcMar>
              <w:top w:type="dxa" w:w="80"/>
              <w:left w:type="dxa" w:w="120"/>
              <w:bottom w:type="dxa" w:w="80"/>
              <w:right w:type="dxa" w:w="120"/>
            </w:tcMar>
          </w:tcPr>
          <w:p>
            <w:r>
              <w:t xml:space="preserve">April 6 to April 17</w:t>
            </w:r>
          </w:p>
        </w:tc>
      </w:tr>
      <w:tr>
        <w:tc>
          <w:tcPr>
            <w:tcW w:type="dxa" w:w="3200"/>
            <w:tcMar>
              <w:top w:type="dxa" w:w="80"/>
              <w:left w:type="dxa" w:w="120"/>
              <w:bottom w:type="dxa" w:w="80"/>
              <w:right w:type="dxa" w:w="120"/>
            </w:tcMar>
          </w:tcPr>
          <w:p>
            <w:r>
              <w:t xml:space="preserve">200 to 299 Mill</w:t>
            </w:r>
          </w:p>
        </w:tc>
        <w:tc>
          <w:tcPr>
            <w:tcW w:type="dxa" w:w="3000"/>
            <w:tcMar>
              <w:top w:type="dxa" w:w="80"/>
              <w:left w:type="dxa" w:w="120"/>
              <w:bottom w:type="dxa" w:w="80"/>
              <w:right w:type="dxa" w:w="120"/>
            </w:tcMar>
          </w:tcPr>
          <w:p>
            <w:r>
              <w:t xml:space="preserve">April 13 to April 17</w:t>
            </w:r>
          </w:p>
        </w:tc>
        <w:tc>
          <w:tcPr>
            <w:tcW w:type="dxa" w:w="3200"/>
            <w:tcMar>
              <w:top w:type="dxa" w:w="80"/>
              <w:left w:type="dxa" w:w="120"/>
              <w:bottom w:type="dxa" w:w="80"/>
              <w:right w:type="dxa" w:w="120"/>
            </w:tcMar>
          </w:tcPr>
          <w:p>
            <w:r>
              <w:t xml:space="preserve">April 6 to April 24</w:t>
            </w:r>
          </w:p>
        </w:tc>
      </w:tr>
      <w:tr>
        <w:tc>
          <w:tcPr>
            <w:tcW w:type="dxa" w:w="3200"/>
            <w:tcMar>
              <w:top w:type="dxa" w:w="80"/>
              <w:left w:type="dxa" w:w="120"/>
              <w:bottom w:type="dxa" w:w="80"/>
              <w:right w:type="dxa" w:w="120"/>
            </w:tcMar>
          </w:tcPr>
          <w:p>
            <w:r>
              <w:t xml:space="preserve">300 to 399 Mill</w:t>
            </w:r>
          </w:p>
        </w:tc>
        <w:tc>
          <w:tcPr>
            <w:tcW w:type="dxa" w:w="3000"/>
            <w:tcMar>
              <w:top w:type="dxa" w:w="80"/>
              <w:left w:type="dxa" w:w="120"/>
              <w:bottom w:type="dxa" w:w="80"/>
              <w:right w:type="dxa" w:w="120"/>
            </w:tcMar>
          </w:tcPr>
          <w:p>
            <w:r>
              <w:t xml:space="preserve">April 20 to April 24</w:t>
            </w:r>
          </w:p>
        </w:tc>
        <w:tc>
          <w:tcPr>
            <w:tcW w:type="dxa" w:w="3200"/>
            <w:tcMar>
              <w:top w:type="dxa" w:w="80"/>
              <w:left w:type="dxa" w:w="120"/>
              <w:bottom w:type="dxa" w:w="80"/>
              <w:right w:type="dxa" w:w="120"/>
            </w:tcMar>
          </w:tcPr>
          <w:p>
            <w:r>
              <w:t xml:space="preserve">April 17 to May 1</w:t>
            </w:r>
          </w:p>
        </w:tc>
      </w:tr>
      <w:tr>
        <w:tc>
          <w:tcPr>
            <w:tcW w:type="dxa" w:w="3200"/>
            <w:tcMar>
              <w:top w:type="dxa" w:w="80"/>
              <w:left w:type="dxa" w:w="120"/>
              <w:bottom w:type="dxa" w:w="80"/>
              <w:right w:type="dxa" w:w="120"/>
            </w:tcMar>
          </w:tcPr>
          <w:p>
            <w:r>
              <w:t xml:space="preserve">400 to 499 Mill</w:t>
            </w:r>
          </w:p>
        </w:tc>
        <w:tc>
          <w:tcPr>
            <w:tcW w:type="dxa" w:w="3000"/>
            <w:tcMar>
              <w:top w:type="dxa" w:w="80"/>
              <w:left w:type="dxa" w:w="120"/>
              <w:bottom w:type="dxa" w:w="80"/>
              <w:right w:type="dxa" w:w="120"/>
            </w:tcMar>
          </w:tcPr>
          <w:p>
            <w:r>
              <w:t xml:space="preserve">April 27 to May 1</w:t>
            </w:r>
          </w:p>
        </w:tc>
        <w:tc>
          <w:tcPr>
            <w:tcW w:type="dxa" w:w="3200"/>
            <w:tcMar>
              <w:top w:type="dxa" w:w="80"/>
              <w:left w:type="dxa" w:w="120"/>
              <w:bottom w:type="dxa" w:w="80"/>
              <w:right w:type="dxa" w:w="120"/>
            </w:tcMar>
          </w:tcPr>
          <w:p>
            <w:r>
              <w:t xml:space="preserve">April 24 to May 15</w:t>
            </w:r>
          </w:p>
        </w:tc>
      </w:tr>
    </w:tbl>
    <w:p>
      <w:pPr>
        <w:pStyle w:val="Heading2"/>
        <w:spacing w:before="240"/>
      </w:pPr>
      <w:r>
        <w:t xml:space="preserve">Questions and accommodations</w:t>
      </w:r>
    </w:p>
    <w:p>
      <w:r>
        <w:t xml:space="preserve">Call Public Works at (555) 555-0142, or </w:t>
      </w:r>
      <w:hyperlink w:history="1" r:id="rId6-i4131l_a8nqv-wngkz4">
        <w:r>
          <w:rPr>
            <w:rStyle w:val="Hyperlink"/>
          </w:rPr>
          <w:t xml:space="preserve">read the full Mill Street project page</w:t>
        </w:r>
      </w:hyperlink>
      <w:r>
        <w:t xml:space="preserve">. If you need this notice in another format or another language, contact the City Clerk at least 48 hours in advance.</w:t>
      </w:r>
    </w:p>
    <w:sectPr>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6-i4131l_a8nqv-wngkz4" Type="http://schemas.openxmlformats.org/officeDocument/2006/relationships/hyperlink" Target="https://riverton.example.gov/publicworks/mill-street" TargetMode="External"/><Relationship Id="rId7" Type="http://schemas.openxmlformats.org/officeDocument/2006/relationships/image" Target="media/c0ae41b59b568157479b0ddf9f0dce1fdc613695.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Public notice: Water main replacement on Mill Street, April 2026</dc:title>
  <dc:creator>City of Riverton Department of Public Works</dc:creator>
  <dc:description>Notice of scheduled water main replacement, service interruptions and detours.</dc:description>
  <cp:lastModifiedBy>Un-named</cp:lastModifiedBy>
  <cp:revision>1</cp:revision>
  <dcterms:created xsi:type="dcterms:W3CDTF">2026-09-08T14:38:58.328Z</dcterms:created>
  <dcterms:modified xsi:type="dcterms:W3CDTF">2026-09-08T14:38:58.328Z</dcterms:modified>
</cp:coreProperties>
</file>

<file path=docProps/custom.xml><?xml version="1.0" encoding="utf-8"?>
<Properties xmlns="http://schemas.openxmlformats.org/officeDocument/2006/custom-properties" xmlns:vt="http://schemas.openxmlformats.org/officeDocument/2006/docPropsVTypes"/>
</file>