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uo5ohu6et1nb" w:id="0"/>
      <w:bookmarkEnd w:id="0"/>
      <w:r w:rsidDel="00000000" w:rsidR="00000000" w:rsidRPr="00000000">
        <w:rPr>
          <w:rtl w:val="0"/>
        </w:rPr>
        <w:t xml:space="preserve">Data protection accountability for governors and trustees</w:t>
      </w:r>
    </w:p>
    <w:p w:rsidR="00000000" w:rsidDel="00000000" w:rsidP="00000000" w:rsidRDefault="00000000" w:rsidRPr="00000000" w14:paraId="00000003">
      <w:pPr>
        <w:rPr>
          <w:color w:val="444444"/>
          <w:sz w:val="36"/>
          <w:szCs w:val="36"/>
          <w:highlight w:val="yellow"/>
        </w:rPr>
      </w:pPr>
      <w:r w:rsidDel="00000000" w:rsidR="00000000" w:rsidRPr="00000000">
        <w:rPr>
          <w:b w:val="1"/>
          <w:color w:val="52a6cc"/>
          <w:sz w:val="36"/>
          <w:szCs w:val="36"/>
          <w:rtl w:val="0"/>
        </w:rPr>
        <w:t xml:space="preserve">Introduction</w:t>
      </w:r>
      <w:r w:rsidDel="00000000" w:rsidR="00000000" w:rsidRPr="00000000">
        <w:rPr>
          <w:rtl w:val="0"/>
        </w:rPr>
      </w:r>
    </w:p>
    <w:p w:rsidR="00000000" w:rsidDel="00000000" w:rsidP="00000000" w:rsidRDefault="00000000" w:rsidRPr="00000000" w14:paraId="00000004">
      <w:pPr>
        <w:spacing w:after="340" w:before="340" w:lineRule="auto"/>
        <w:rPr/>
      </w:pPr>
      <w:r w:rsidDel="00000000" w:rsidR="00000000" w:rsidRPr="00000000">
        <w:rPr>
          <w:rtl w:val="0"/>
        </w:rPr>
        <w:t xml:space="preserve">Trustees are directors under company and charity law and have legal responsibilities that governors of maintained schools do not. A maintained school will have the local authority to report and answer to whereas if anything goes wrong within an academy or MAT, the academy or MAT is responsible. </w:t>
      </w:r>
    </w:p>
    <w:p w:rsidR="00000000" w:rsidDel="00000000" w:rsidP="00000000" w:rsidRDefault="00000000" w:rsidRPr="00000000" w14:paraId="00000005">
      <w:pPr>
        <w:spacing w:after="340" w:before="340" w:lineRule="auto"/>
        <w:rPr/>
      </w:pPr>
      <w:r w:rsidDel="00000000" w:rsidR="00000000" w:rsidRPr="00000000">
        <w:rPr>
          <w:highlight w:val="white"/>
          <w:rtl w:val="0"/>
        </w:rPr>
        <w:t xml:space="preserve">‘Governors or trustees set the aims and objectives for the school or group of schools and set the policies and targets for achieving those aims and objectives. They monitor and evaluate the progress the school is making and act as a source of challenge and support to the headteacher’(</w:t>
      </w:r>
      <w:r w:rsidDel="00000000" w:rsidR="00000000" w:rsidRPr="00000000">
        <w:rPr>
          <w:highlight w:val="white"/>
          <w:rtl w:val="0"/>
        </w:rPr>
        <w:t xml:space="preserve">www.nga.org.uk)</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06">
      <w:pPr>
        <w:spacing w:after="340" w:before="340" w:lineRule="auto"/>
        <w:rPr/>
      </w:pPr>
      <w:r w:rsidDel="00000000" w:rsidR="00000000" w:rsidRPr="00000000">
        <w:rPr>
          <w:rtl w:val="0"/>
        </w:rPr>
        <w:t xml:space="preserve">Even though there are differences between a governor's and trustees role, the role in relation to monitoring the progress of data protection compliance is effectively the same.</w:t>
      </w:r>
    </w:p>
    <w:p w:rsidR="00000000" w:rsidDel="00000000" w:rsidP="00000000" w:rsidRDefault="00000000" w:rsidRPr="00000000" w14:paraId="00000007">
      <w:pPr>
        <w:pStyle w:val="Heading2"/>
        <w:rPr/>
      </w:pPr>
      <w:bookmarkStart w:colFirst="0" w:colLast="0" w:name="_wt8zgobmkwlr" w:id="1"/>
      <w:bookmarkEnd w:id="1"/>
      <w:r w:rsidDel="00000000" w:rsidR="00000000" w:rsidRPr="00000000">
        <w:rPr>
          <w:rtl w:val="0"/>
        </w:rPr>
        <w:t xml:space="preserve">The role of the governor and trustee in data protection monitoring </w:t>
      </w:r>
    </w:p>
    <w:p w:rsidR="00000000" w:rsidDel="00000000" w:rsidP="00000000" w:rsidRDefault="00000000" w:rsidRPr="00000000" w14:paraId="00000008">
      <w:pPr>
        <w:numPr>
          <w:ilvl w:val="0"/>
          <w:numId w:val="1"/>
        </w:numPr>
        <w:spacing w:after="0" w:afterAutospacing="0" w:before="340" w:lineRule="auto"/>
        <w:ind w:left="720" w:hanging="360"/>
        <w:rPr>
          <w:highlight w:val="white"/>
          <w:u w:val="none"/>
        </w:rPr>
      </w:pPr>
      <w:r w:rsidDel="00000000" w:rsidR="00000000" w:rsidRPr="00000000">
        <w:rPr>
          <w:highlight w:val="white"/>
          <w:rtl w:val="0"/>
        </w:rPr>
        <w:t xml:space="preserve">As a governor/trustee you will monitor and evaluate the progress the school is making with their data protection compliance;</w:t>
      </w:r>
    </w:p>
    <w:p w:rsidR="00000000" w:rsidDel="00000000" w:rsidP="00000000" w:rsidRDefault="00000000" w:rsidRPr="00000000" w14:paraId="00000009">
      <w:pPr>
        <w:numPr>
          <w:ilvl w:val="0"/>
          <w:numId w:val="1"/>
        </w:numPr>
        <w:spacing w:after="0" w:afterAutospacing="0" w:before="0" w:beforeAutospacing="0" w:lineRule="auto"/>
        <w:ind w:left="720" w:hanging="360"/>
        <w:rPr>
          <w:highlight w:val="white"/>
          <w:u w:val="none"/>
        </w:rPr>
      </w:pPr>
      <w:r w:rsidDel="00000000" w:rsidR="00000000" w:rsidRPr="00000000">
        <w:rPr>
          <w:highlight w:val="white"/>
          <w:rtl w:val="0"/>
        </w:rPr>
        <w:t xml:space="preserve">Challenge and support the headteacher and leadership team;</w:t>
      </w:r>
      <w:r w:rsidDel="00000000" w:rsidR="00000000" w:rsidRPr="00000000">
        <w:rPr>
          <w:rtl w:val="0"/>
        </w:rPr>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rtl w:val="0"/>
        </w:rPr>
        <w:t xml:space="preserve">Monitor progress and performance throughout the delivery of data protection  compliance, comparing what is delivered to what was planned, using specific indicators, milestones and targets;</w:t>
      </w:r>
    </w:p>
    <w:p w:rsidR="00000000" w:rsidDel="00000000" w:rsidP="00000000" w:rsidRDefault="00000000" w:rsidRPr="00000000" w14:paraId="0000000B">
      <w:pPr>
        <w:numPr>
          <w:ilvl w:val="0"/>
          <w:numId w:val="1"/>
        </w:numPr>
        <w:spacing w:after="0" w:afterAutospacing="0"/>
        <w:ind w:left="720" w:hanging="360"/>
        <w:rPr>
          <w:u w:val="none"/>
        </w:rPr>
      </w:pPr>
      <w:r w:rsidDel="00000000" w:rsidR="00000000" w:rsidRPr="00000000">
        <w:rPr>
          <w:rtl w:val="0"/>
        </w:rPr>
        <w:t xml:space="preserve">Support with quality assurance;</w:t>
      </w:r>
    </w:p>
    <w:p w:rsidR="00000000" w:rsidDel="00000000" w:rsidP="00000000" w:rsidRDefault="00000000" w:rsidRPr="00000000" w14:paraId="0000000C">
      <w:pPr>
        <w:numPr>
          <w:ilvl w:val="0"/>
          <w:numId w:val="1"/>
        </w:numPr>
        <w:spacing w:after="0" w:afterAutospacing="0"/>
        <w:ind w:left="720" w:hanging="360"/>
        <w:rPr>
          <w:u w:val="none"/>
        </w:rPr>
      </w:pPr>
      <w:r w:rsidDel="00000000" w:rsidR="00000000" w:rsidRPr="00000000">
        <w:rPr>
          <w:rtl w:val="0"/>
        </w:rPr>
        <w:t xml:space="preserve">Agree reporting requirements with the headteacher i.e. external audit/headteacher reports;</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rtl w:val="0"/>
        </w:rPr>
        <w:t xml:space="preserve">Use visits to meet with the headteacher and gain first hand information through observations;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Work in partnership with staff.</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sectPr>
      <w:headerReference r:id="rId6" w:type="default"/>
      <w:footerReference r:id="rId7" w:type="default"/>
      <w:pgSz w:h="16838" w:w="11906"/>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p>
  <w:tbl>
    <w:tblPr>
      <w:tblStyle w:val="Table1"/>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Version 1.0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5">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jc w:val="right"/>
      <w:rPr/>
    </w:pPr>
    <w:r w:rsidDel="00000000" w:rsidR="00000000" w:rsidRPr="00000000">
      <w:rPr/>
      <w:drawing>
        <wp:inline distB="114300" distT="114300" distL="114300" distR="114300">
          <wp:extent cx="2219325" cy="5238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9325" cy="5238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_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Calibri" w:cs="Calibri" w:eastAsia="Calibri" w:hAnsi="Calibri"/>
      <w:b w:val="1"/>
      <w:color w:val="52a6cc"/>
      <w:sz w:val="48"/>
      <w:szCs w:val="48"/>
    </w:rPr>
  </w:style>
  <w:style w:type="paragraph" w:styleId="Heading2">
    <w:name w:val="heading 2"/>
    <w:basedOn w:val="Normal"/>
    <w:next w:val="Normal"/>
    <w:pPr/>
    <w:rPr>
      <w:b w:val="1"/>
      <w:color w:val="52a6cc"/>
      <w:sz w:val="36"/>
      <w:szCs w:val="36"/>
    </w:rPr>
  </w:style>
  <w:style w:type="paragraph" w:styleId="Heading3">
    <w:name w:val="heading 3"/>
    <w:basedOn w:val="Normal"/>
    <w:next w:val="Normal"/>
    <w:pPr/>
    <w:rPr>
      <w:b w:val="1"/>
      <w:color w:val="52a6cc"/>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before="480" w:lineRule="auto"/>
    </w:pPr>
    <w:rPr>
      <w:b w:val="1"/>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