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o5ohu6et1nb" w:id="0"/>
      <w:bookmarkEnd w:id="0"/>
      <w:r w:rsidDel="00000000" w:rsidR="00000000" w:rsidRPr="00000000">
        <w:rPr>
          <w:rtl w:val="0"/>
        </w:rPr>
        <w:t xml:space="preserve">CCTV access, extraction and approval flow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This flow chart is intended as a guide information flow to ensure that CCTV access and extraction occurs only when both these conditions are met: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prior incident exists (where that incident type is documented as a purpose of the CCTV in the organisation’s CCTV Policy) and is recorded as an incident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authorised by the appropriate personnel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Incident reporting policies should document the threshold for incident severity.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CCTV policy should define authorising personnel and those with access to view and extract data from the CCTV system.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Security measures for storage and deletion to be documented in the CCTV policy.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hanging="850.3937007874016"/>
        <w:rPr/>
      </w:pPr>
      <w:r w:rsidDel="00000000" w:rsidR="00000000" w:rsidRPr="00000000">
        <w:rPr/>
        <w:drawing>
          <wp:inline distB="114300" distT="114300" distL="114300" distR="114300">
            <wp:extent cx="6809720" cy="756761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9720" cy="7567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  <w:tbl>
    <w:tblPr>
      <w:tblStyle w:val="Table1"/>
      <w:tblW w:w="9918.0" w:type="dxa"/>
      <w:jc w:val="left"/>
      <w:tblInd w:w="100.0" w:type="pc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59"/>
      <w:gridCol w:w="4959"/>
      <w:tblGridChange w:id="0">
        <w:tblGrid>
          <w:gridCol w:w="4959"/>
          <w:gridCol w:w="4959"/>
        </w:tblGrid>
      </w:tblGridChange>
    </w:tblGrid>
    <w:t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2">
          <w:pPr>
            <w:rPr/>
          </w:pPr>
          <w:r w:rsidDel="00000000" w:rsidR="00000000" w:rsidRPr="00000000">
            <w:rPr>
              <w:rtl w:val="0"/>
            </w:rPr>
            <w:t xml:space="preserve">Version 0.1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3">
          <w:pPr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4">
    <w:pPr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219325" cy="52387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9325" cy="5238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color w:val="595959"/>
        <w:sz w:val="24"/>
        <w:szCs w:val="24"/>
        <w:lang w:val="en_GB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alibri" w:cs="Calibri" w:eastAsia="Calibri" w:hAnsi="Calibri"/>
      <w:b w:val="1"/>
      <w:color w:val="52a6cc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color w:val="52a6cc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color w:val="52a6cc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