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pPr>
      <w:bookmarkStart w:colFirst="0" w:colLast="0" w:name="_gm3sn471749e" w:id="0"/>
      <w:bookmarkEnd w:id="0"/>
      <w:r w:rsidDel="00000000" w:rsidR="00000000" w:rsidRPr="00000000">
        <w:rPr>
          <w:rtl w:val="0"/>
        </w:rPr>
        <w:t xml:space="preserve">Changes 1.13 to 1.14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Updated page 2</w:t>
      </w:r>
    </w:p>
    <w:p w:rsidR="00000000" w:rsidDel="00000000" w:rsidP="00000000" w:rsidRDefault="00000000" w:rsidRPr="00000000" w14:paraId="00000004">
      <w:pPr>
        <w:spacing w:line="276" w:lineRule="auto"/>
        <w:rPr>
          <w:color w:val="000000"/>
        </w:rPr>
      </w:pPr>
      <w:r w:rsidDel="00000000" w:rsidR="00000000" w:rsidRPr="00000000">
        <w:rPr>
          <w:rtl w:val="0"/>
        </w:rPr>
      </w:r>
    </w:p>
    <w:p w:rsidR="00000000" w:rsidDel="00000000" w:rsidP="00000000" w:rsidRDefault="00000000" w:rsidRPr="00000000" w14:paraId="00000005">
      <w:pPr>
        <w:spacing w:line="276" w:lineRule="auto"/>
        <w:rPr>
          <w:color w:val="000000"/>
        </w:rPr>
      </w:pPr>
      <w:r w:rsidDel="00000000" w:rsidR="00000000" w:rsidRPr="00000000">
        <w:rPr>
          <w:b w:val="1"/>
          <w:color w:val="000000"/>
          <w:rtl w:val="0"/>
        </w:rPr>
        <w:t xml:space="preserve">Document version</w:t>
      </w:r>
      <w:r w:rsidDel="00000000" w:rsidR="00000000" w:rsidRPr="00000000">
        <w:rPr>
          <w:rtl w:val="0"/>
        </w:rPr>
      </w:r>
    </w:p>
    <w:tbl>
      <w:tblPr>
        <w:tblStyle w:val="Table1"/>
        <w:tblW w:w="9021.0" w:type="dxa"/>
        <w:jc w:val="left"/>
        <w:tblInd w:w="392.0" w:type="dxa"/>
        <w:tblBorders>
          <w:top w:color="52a6cc" w:space="0" w:sz="4" w:val="single"/>
          <w:left w:color="52a6cc" w:space="0" w:sz="4" w:val="single"/>
          <w:bottom w:color="52a6cc" w:space="0" w:sz="4" w:val="single"/>
          <w:right w:color="52a6cc" w:space="0" w:sz="4" w:val="single"/>
          <w:insideH w:color="52a6cc" w:space="0" w:sz="4" w:val="single"/>
          <w:insideV w:color="52a6cc" w:space="0" w:sz="4" w:val="single"/>
        </w:tblBorders>
        <w:tblLayout w:type="fixed"/>
        <w:tblLook w:val="0400"/>
      </w:tblPr>
      <w:tblGrid>
        <w:gridCol w:w="1804"/>
        <w:gridCol w:w="1804"/>
        <w:gridCol w:w="1804"/>
        <w:gridCol w:w="1804"/>
        <w:gridCol w:w="1805"/>
        <w:tblGridChange w:id="0">
          <w:tblGrid>
            <w:gridCol w:w="1804"/>
            <w:gridCol w:w="1804"/>
            <w:gridCol w:w="1804"/>
            <w:gridCol w:w="1804"/>
            <w:gridCol w:w="1805"/>
          </w:tblGrid>
        </w:tblGridChange>
      </w:tblGrid>
      <w:tr>
        <w:trPr>
          <w:cantSplit w:val="0"/>
          <w:trHeight w:val="260" w:hRule="atLeast"/>
          <w:tblHeader w:val="0"/>
        </w:trPr>
        <w:tc>
          <w:tcPr>
            <w:tcBorders>
              <w:bottom w:color="efefef" w:space="0" w:sz="4" w:val="single"/>
            </w:tcBorders>
            <w:shd w:fill="5b9bd5" w:val="clear"/>
          </w:tcPr>
          <w:p w:rsidR="00000000" w:rsidDel="00000000" w:rsidP="00000000" w:rsidRDefault="00000000" w:rsidRPr="00000000" w14:paraId="00000006">
            <w:pPr>
              <w:spacing w:after="0" w:line="276" w:lineRule="auto"/>
              <w:rPr>
                <w:b w:val="1"/>
                <w:color w:val="efefef"/>
                <w:sz w:val="16"/>
                <w:szCs w:val="16"/>
              </w:rPr>
            </w:pPr>
            <w:r w:rsidDel="00000000" w:rsidR="00000000" w:rsidRPr="00000000">
              <w:rPr>
                <w:b w:val="1"/>
                <w:color w:val="efefef"/>
                <w:sz w:val="16"/>
                <w:szCs w:val="16"/>
                <w:rtl w:val="0"/>
              </w:rPr>
              <w:t xml:space="preserve">Version</w:t>
            </w:r>
          </w:p>
        </w:tc>
        <w:tc>
          <w:tcPr>
            <w:shd w:fill="auto" w:val="clear"/>
          </w:tcPr>
          <w:p w:rsidR="00000000" w:rsidDel="00000000" w:rsidP="00000000" w:rsidRDefault="00000000" w:rsidRPr="00000000" w14:paraId="00000007">
            <w:pPr>
              <w:spacing w:after="0" w:line="276" w:lineRule="auto"/>
              <w:rPr>
                <w:b w:val="1"/>
                <w:color w:val="5b9bd5"/>
                <w:sz w:val="16"/>
                <w:szCs w:val="16"/>
              </w:rPr>
            </w:pPr>
            <w:r w:rsidDel="00000000" w:rsidR="00000000" w:rsidRPr="00000000">
              <w:rPr>
                <w:b w:val="1"/>
                <w:color w:val="5b9bd5"/>
                <w:sz w:val="16"/>
                <w:szCs w:val="16"/>
                <w:rtl w:val="0"/>
              </w:rPr>
              <w:t xml:space="preserve">Author</w:t>
            </w:r>
          </w:p>
        </w:tc>
        <w:tc>
          <w:tcPr>
            <w:tcBorders>
              <w:bottom w:color="efefef" w:space="0" w:sz="4" w:val="single"/>
              <w:right w:color="efefef" w:space="0" w:sz="4" w:val="single"/>
            </w:tcBorders>
            <w:shd w:fill="5b9bd5" w:val="clear"/>
          </w:tcPr>
          <w:p w:rsidR="00000000" w:rsidDel="00000000" w:rsidP="00000000" w:rsidRDefault="00000000" w:rsidRPr="00000000" w14:paraId="00000008">
            <w:pPr>
              <w:spacing w:line="276" w:lineRule="auto"/>
              <w:rPr>
                <w:b w:val="1"/>
                <w:color w:val="efefef"/>
                <w:sz w:val="16"/>
                <w:szCs w:val="16"/>
              </w:rPr>
            </w:pPr>
            <w:r w:rsidDel="00000000" w:rsidR="00000000" w:rsidRPr="00000000">
              <w:rPr>
                <w:b w:val="1"/>
                <w:color w:val="efefef"/>
                <w:sz w:val="16"/>
                <w:szCs w:val="16"/>
                <w:rtl w:val="0"/>
              </w:rPr>
              <w:t xml:space="preserve">Date</w:t>
            </w:r>
          </w:p>
        </w:tc>
        <w:tc>
          <w:tcPr>
            <w:tcBorders>
              <w:left w:color="efefef" w:space="0" w:sz="4" w:val="single"/>
              <w:bottom w:color="efefef" w:space="0" w:sz="4" w:val="single"/>
            </w:tcBorders>
            <w:shd w:fill="5b9bd5" w:val="clear"/>
          </w:tcPr>
          <w:p w:rsidR="00000000" w:rsidDel="00000000" w:rsidP="00000000" w:rsidRDefault="00000000" w:rsidRPr="00000000" w14:paraId="00000009">
            <w:pPr>
              <w:spacing w:line="276" w:lineRule="auto"/>
              <w:rPr>
                <w:b w:val="1"/>
                <w:color w:val="efefef"/>
                <w:sz w:val="16"/>
                <w:szCs w:val="16"/>
              </w:rPr>
            </w:pPr>
            <w:r w:rsidDel="00000000" w:rsidR="00000000" w:rsidRPr="00000000">
              <w:rPr>
                <w:b w:val="1"/>
                <w:color w:val="efefef"/>
                <w:sz w:val="16"/>
                <w:szCs w:val="16"/>
                <w:rtl w:val="0"/>
              </w:rPr>
              <w:t xml:space="preserve">Approved by</w:t>
            </w:r>
          </w:p>
        </w:tc>
        <w:tc>
          <w:tcPr>
            <w:shd w:fill="auto" w:val="clear"/>
          </w:tcPr>
          <w:p w:rsidR="00000000" w:rsidDel="00000000" w:rsidP="00000000" w:rsidRDefault="00000000" w:rsidRPr="00000000" w14:paraId="0000000A">
            <w:pPr>
              <w:spacing w:line="276" w:lineRule="auto"/>
              <w:rPr>
                <w:b w:val="1"/>
                <w:color w:val="5b9bd5"/>
                <w:sz w:val="16"/>
                <w:szCs w:val="16"/>
              </w:rPr>
            </w:pPr>
            <w:r w:rsidDel="00000000" w:rsidR="00000000" w:rsidRPr="00000000">
              <w:rPr>
                <w:b w:val="1"/>
                <w:color w:val="5b9bd5"/>
                <w:sz w:val="16"/>
                <w:szCs w:val="16"/>
                <w:rtl w:val="0"/>
              </w:rPr>
              <w:t xml:space="preserve">Effective from</w:t>
            </w:r>
          </w:p>
        </w:tc>
      </w:tr>
      <w:tr>
        <w:trPr>
          <w:cantSplit w:val="0"/>
          <w:trHeight w:val="180" w:hRule="atLeast"/>
          <w:tblHeader w:val="0"/>
        </w:trPr>
        <w:tc>
          <w:tcPr>
            <w:tcBorders>
              <w:top w:color="efefef" w:space="0" w:sz="4" w:val="single"/>
              <w:bottom w:color="efefef" w:space="0" w:sz="4" w:val="single"/>
            </w:tcBorders>
            <w:shd w:fill="5b9bd5" w:val="clear"/>
          </w:tcPr>
          <w:p w:rsidR="00000000" w:rsidDel="00000000" w:rsidP="00000000" w:rsidRDefault="00000000" w:rsidRPr="00000000" w14:paraId="0000000B">
            <w:pPr>
              <w:spacing w:line="276" w:lineRule="auto"/>
              <w:rPr>
                <w:color w:val="000000"/>
                <w:sz w:val="16"/>
                <w:szCs w:val="16"/>
              </w:rPr>
            </w:pPr>
            <w:r w:rsidDel="00000000" w:rsidR="00000000" w:rsidRPr="00000000">
              <w:rPr>
                <w:color w:val="000000"/>
                <w:sz w:val="16"/>
                <w:szCs w:val="16"/>
                <w:rtl w:val="0"/>
              </w:rPr>
              <w:t xml:space="preserve">1.13</w:t>
            </w:r>
          </w:p>
        </w:tc>
        <w:tc>
          <w:tcPr>
            <w:shd w:fill="auto" w:val="clear"/>
          </w:tcPr>
          <w:p w:rsidR="00000000" w:rsidDel="00000000" w:rsidP="00000000" w:rsidRDefault="00000000" w:rsidRPr="00000000" w14:paraId="0000000C">
            <w:pPr>
              <w:spacing w:line="276" w:lineRule="auto"/>
              <w:rPr>
                <w:color w:val="000000"/>
                <w:sz w:val="16"/>
                <w:szCs w:val="16"/>
              </w:rPr>
            </w:pPr>
            <w:r w:rsidDel="00000000" w:rsidR="00000000" w:rsidRPr="00000000">
              <w:rPr>
                <w:color w:val="000000"/>
                <w:sz w:val="16"/>
                <w:szCs w:val="16"/>
                <w:rtl w:val="0"/>
              </w:rPr>
              <w:t xml:space="preserve">DPE-JE</w:t>
            </w:r>
          </w:p>
        </w:tc>
        <w:tc>
          <w:tcPr>
            <w:tcBorders>
              <w:top w:color="efefef" w:space="0" w:sz="4" w:val="single"/>
              <w:bottom w:color="efefef" w:space="0" w:sz="4" w:val="single"/>
              <w:right w:color="efefef" w:space="0" w:sz="4" w:val="single"/>
            </w:tcBorders>
            <w:shd w:fill="5b9bd5" w:val="clear"/>
          </w:tcPr>
          <w:p w:rsidR="00000000" w:rsidDel="00000000" w:rsidP="00000000" w:rsidRDefault="00000000" w:rsidRPr="00000000" w14:paraId="0000000D">
            <w:pPr>
              <w:spacing w:line="276" w:lineRule="auto"/>
              <w:rPr>
                <w:color w:val="000000"/>
                <w:sz w:val="16"/>
                <w:szCs w:val="16"/>
              </w:rPr>
            </w:pPr>
            <w:r w:rsidDel="00000000" w:rsidR="00000000" w:rsidRPr="00000000">
              <w:rPr>
                <w:color w:val="000000"/>
                <w:sz w:val="16"/>
                <w:szCs w:val="16"/>
                <w:rtl w:val="0"/>
              </w:rPr>
              <w:t xml:space="preserve">18-01-23</w:t>
            </w:r>
          </w:p>
        </w:tc>
        <w:tc>
          <w:tcPr>
            <w:tcBorders>
              <w:top w:color="efefef" w:space="0" w:sz="4" w:val="single"/>
              <w:left w:color="efefef" w:space="0" w:sz="4" w:val="single"/>
              <w:bottom w:color="efefef" w:space="0" w:sz="4" w:val="single"/>
            </w:tcBorders>
            <w:shd w:fill="5b9bd5" w:val="clear"/>
          </w:tcPr>
          <w:p w:rsidR="00000000" w:rsidDel="00000000" w:rsidP="00000000" w:rsidRDefault="00000000" w:rsidRPr="00000000" w14:paraId="0000000E">
            <w:pPr>
              <w:spacing w:line="276" w:lineRule="auto"/>
              <w:rPr>
                <w:color w:val="000000"/>
                <w:sz w:val="16"/>
                <w:szCs w:val="16"/>
              </w:rPr>
            </w:pPr>
            <w:r w:rsidDel="00000000" w:rsidR="00000000" w:rsidRPr="00000000">
              <w:rPr>
                <w:rtl w:val="0"/>
              </w:rPr>
            </w:r>
          </w:p>
        </w:tc>
        <w:tc>
          <w:tcPr>
            <w:shd w:fill="auto" w:val="clear"/>
          </w:tcPr>
          <w:p w:rsidR="00000000" w:rsidDel="00000000" w:rsidP="00000000" w:rsidRDefault="00000000" w:rsidRPr="00000000" w14:paraId="0000000F">
            <w:pPr>
              <w:spacing w:line="276" w:lineRule="auto"/>
              <w:rPr>
                <w:color w:val="000000"/>
                <w:sz w:val="16"/>
                <w:szCs w:val="16"/>
              </w:rPr>
            </w:pPr>
            <w:r w:rsidDel="00000000" w:rsidR="00000000" w:rsidRPr="00000000">
              <w:rPr>
                <w:rtl w:val="0"/>
              </w:rPr>
            </w:r>
          </w:p>
        </w:tc>
      </w:tr>
      <w:tr>
        <w:trPr>
          <w:cantSplit w:val="0"/>
          <w:trHeight w:val="180" w:hRule="atLeast"/>
          <w:tblHeader w:val="0"/>
        </w:trPr>
        <w:tc>
          <w:tcPr>
            <w:tcBorders>
              <w:top w:color="efefef" w:space="0" w:sz="4" w:val="single"/>
            </w:tcBorders>
            <w:shd w:fill="5b9bd5" w:val="clear"/>
          </w:tcPr>
          <w:p w:rsidR="00000000" w:rsidDel="00000000" w:rsidP="00000000" w:rsidRDefault="00000000" w:rsidRPr="00000000" w14:paraId="00000010">
            <w:pPr>
              <w:spacing w:line="276" w:lineRule="auto"/>
              <w:rPr>
                <w:color w:val="000000"/>
                <w:sz w:val="16"/>
                <w:szCs w:val="16"/>
              </w:rPr>
            </w:pPr>
            <w:r w:rsidDel="00000000" w:rsidR="00000000" w:rsidRPr="00000000">
              <w:rPr>
                <w:color w:val="000000"/>
                <w:sz w:val="16"/>
                <w:szCs w:val="16"/>
                <w:rtl w:val="0"/>
              </w:rPr>
              <w:t xml:space="preserve">1.14</w:t>
            </w:r>
          </w:p>
        </w:tc>
        <w:tc>
          <w:tcPr>
            <w:shd w:fill="auto" w:val="clear"/>
          </w:tcPr>
          <w:p w:rsidR="00000000" w:rsidDel="00000000" w:rsidP="00000000" w:rsidRDefault="00000000" w:rsidRPr="00000000" w14:paraId="00000011">
            <w:pPr>
              <w:spacing w:line="276" w:lineRule="auto"/>
              <w:rPr>
                <w:color w:val="000000"/>
                <w:sz w:val="16"/>
                <w:szCs w:val="16"/>
              </w:rPr>
            </w:pPr>
            <w:r w:rsidDel="00000000" w:rsidR="00000000" w:rsidRPr="00000000">
              <w:rPr>
                <w:color w:val="000000"/>
                <w:sz w:val="16"/>
                <w:szCs w:val="16"/>
                <w:rtl w:val="0"/>
              </w:rPr>
              <w:t xml:space="preserve">DPE-JE</w:t>
            </w:r>
          </w:p>
        </w:tc>
        <w:tc>
          <w:tcPr>
            <w:tcBorders>
              <w:top w:color="efefef" w:space="0" w:sz="4" w:val="single"/>
              <w:right w:color="efefef" w:space="0" w:sz="4" w:val="single"/>
            </w:tcBorders>
            <w:shd w:fill="5b9bd5" w:val="clear"/>
          </w:tcPr>
          <w:p w:rsidR="00000000" w:rsidDel="00000000" w:rsidP="00000000" w:rsidRDefault="00000000" w:rsidRPr="00000000" w14:paraId="00000012">
            <w:pPr>
              <w:spacing w:line="276" w:lineRule="auto"/>
              <w:rPr>
                <w:color w:val="000000"/>
                <w:sz w:val="16"/>
                <w:szCs w:val="16"/>
              </w:rPr>
            </w:pPr>
            <w:r w:rsidDel="00000000" w:rsidR="00000000" w:rsidRPr="00000000">
              <w:rPr>
                <w:color w:val="000000"/>
                <w:sz w:val="16"/>
                <w:szCs w:val="16"/>
                <w:rtl w:val="0"/>
              </w:rPr>
              <w:t xml:space="preserve">29-06-23</w:t>
            </w:r>
          </w:p>
        </w:tc>
        <w:tc>
          <w:tcPr>
            <w:tcBorders>
              <w:top w:color="efefef" w:space="0" w:sz="4" w:val="single"/>
              <w:left w:color="efefef" w:space="0" w:sz="4" w:val="single"/>
            </w:tcBorders>
            <w:shd w:fill="5b9bd5" w:val="clear"/>
          </w:tcPr>
          <w:p w:rsidR="00000000" w:rsidDel="00000000" w:rsidP="00000000" w:rsidRDefault="00000000" w:rsidRPr="00000000" w14:paraId="00000013">
            <w:pPr>
              <w:spacing w:line="276" w:lineRule="auto"/>
              <w:rPr>
                <w:color w:val="000000"/>
                <w:sz w:val="16"/>
                <w:szCs w:val="16"/>
              </w:rPr>
            </w:pPr>
            <w:r w:rsidDel="00000000" w:rsidR="00000000" w:rsidRPr="00000000">
              <w:rPr>
                <w:rtl w:val="0"/>
              </w:rPr>
            </w:r>
          </w:p>
        </w:tc>
        <w:tc>
          <w:tcPr>
            <w:shd w:fill="auto" w:val="clear"/>
          </w:tcPr>
          <w:p w:rsidR="00000000" w:rsidDel="00000000" w:rsidP="00000000" w:rsidRDefault="00000000" w:rsidRPr="00000000" w14:paraId="00000014">
            <w:pPr>
              <w:spacing w:line="276" w:lineRule="auto"/>
              <w:rPr>
                <w:color w:val="000000"/>
                <w:sz w:val="16"/>
                <w:szCs w:val="16"/>
              </w:rPr>
            </w:pPr>
            <w:r w:rsidDel="00000000" w:rsidR="00000000" w:rsidRPr="00000000">
              <w:rPr>
                <w:rtl w:val="0"/>
              </w:rPr>
            </w:r>
          </w:p>
        </w:tc>
      </w:tr>
    </w:tbl>
    <w:p w:rsidR="00000000" w:rsidDel="00000000" w:rsidP="00000000" w:rsidRDefault="00000000" w:rsidRPr="00000000" w14:paraId="00000015">
      <w:pPr>
        <w:spacing w:line="276" w:lineRule="auto"/>
        <w:rPr>
          <w:color w:val="000000"/>
        </w:rPr>
      </w:pPr>
      <w:r w:rsidDel="00000000" w:rsidR="00000000" w:rsidRPr="00000000">
        <w:rPr>
          <w:rtl w:val="0"/>
        </w:rPr>
      </w:r>
    </w:p>
    <w:p w:rsidR="00000000" w:rsidDel="00000000" w:rsidP="00000000" w:rsidRDefault="00000000" w:rsidRPr="00000000" w14:paraId="00000016">
      <w:pPr>
        <w:spacing w:line="276" w:lineRule="auto"/>
        <w:rPr>
          <w:b w:val="1"/>
          <w:color w:val="000000"/>
        </w:rPr>
      </w:pPr>
      <w:r w:rsidDel="00000000" w:rsidR="00000000" w:rsidRPr="00000000">
        <w:rPr>
          <w:b w:val="1"/>
          <w:color w:val="000000"/>
          <w:rtl w:val="0"/>
        </w:rPr>
        <w:t xml:space="preserve">Related documents:</w:t>
      </w:r>
    </w:p>
    <w:p w:rsidR="00000000" w:rsidDel="00000000" w:rsidP="00000000" w:rsidRDefault="00000000" w:rsidRPr="00000000" w14:paraId="00000017">
      <w:pPr>
        <w:numPr>
          <w:ilvl w:val="0"/>
          <w:numId w:val="1"/>
        </w:numPr>
        <w:spacing w:after="0" w:afterAutospacing="0" w:line="276" w:lineRule="auto"/>
        <w:ind w:left="720" w:hanging="360"/>
        <w:rPr>
          <w:color w:val="000000"/>
        </w:rPr>
      </w:pPr>
      <w:r w:rsidDel="00000000" w:rsidR="00000000" w:rsidRPr="00000000">
        <w:rPr>
          <w:color w:val="000000"/>
          <w:rtl w:val="0"/>
        </w:rPr>
        <w:t xml:space="preserve">Acceptable Use Policy</w:t>
      </w:r>
    </w:p>
    <w:p w:rsidR="00000000" w:rsidDel="00000000" w:rsidP="00000000" w:rsidRDefault="00000000" w:rsidRPr="00000000" w14:paraId="00000018">
      <w:pPr>
        <w:numPr>
          <w:ilvl w:val="0"/>
          <w:numId w:val="1"/>
        </w:numPr>
        <w:spacing w:after="0" w:afterAutospacing="0" w:line="276" w:lineRule="auto"/>
        <w:ind w:left="720" w:hanging="360"/>
        <w:rPr>
          <w:color w:val="000000"/>
        </w:rPr>
      </w:pPr>
      <w:r w:rsidDel="00000000" w:rsidR="00000000" w:rsidRPr="00000000">
        <w:rPr>
          <w:color w:val="000000"/>
          <w:rtl w:val="0"/>
        </w:rPr>
        <w:t xml:space="preserve">Data Breach Procedure</w:t>
      </w:r>
    </w:p>
    <w:p w:rsidR="00000000" w:rsidDel="00000000" w:rsidP="00000000" w:rsidRDefault="00000000" w:rsidRPr="00000000" w14:paraId="00000019">
      <w:pPr>
        <w:numPr>
          <w:ilvl w:val="0"/>
          <w:numId w:val="1"/>
        </w:numPr>
        <w:spacing w:after="0" w:afterAutospacing="0" w:line="276" w:lineRule="auto"/>
        <w:ind w:left="720" w:hanging="360"/>
        <w:rPr>
          <w:color w:val="000000"/>
        </w:rPr>
      </w:pPr>
      <w:r w:rsidDel="00000000" w:rsidR="00000000" w:rsidRPr="00000000">
        <w:rPr>
          <w:color w:val="000000"/>
          <w:rtl w:val="0"/>
        </w:rPr>
        <w:t xml:space="preserve">Subject Access Request Procedure</w:t>
      </w:r>
    </w:p>
    <w:p w:rsidR="00000000" w:rsidDel="00000000" w:rsidP="00000000" w:rsidRDefault="00000000" w:rsidRPr="00000000" w14:paraId="0000001A">
      <w:pPr>
        <w:numPr>
          <w:ilvl w:val="0"/>
          <w:numId w:val="1"/>
        </w:numPr>
        <w:spacing w:after="0" w:afterAutospacing="0" w:line="276" w:lineRule="auto"/>
        <w:ind w:left="720" w:hanging="360"/>
        <w:rPr>
          <w:color w:val="000000"/>
        </w:rPr>
      </w:pPr>
      <w:r w:rsidDel="00000000" w:rsidR="00000000" w:rsidRPr="00000000">
        <w:rPr>
          <w:color w:val="000000"/>
          <w:rtl w:val="0"/>
        </w:rPr>
        <w:t xml:space="preserve">Records Management Policy</w:t>
      </w:r>
    </w:p>
    <w:p w:rsidR="00000000" w:rsidDel="00000000" w:rsidP="00000000" w:rsidRDefault="00000000" w:rsidRPr="00000000" w14:paraId="0000001B">
      <w:pPr>
        <w:numPr>
          <w:ilvl w:val="0"/>
          <w:numId w:val="1"/>
        </w:numPr>
        <w:spacing w:line="276" w:lineRule="auto"/>
        <w:ind w:left="720" w:hanging="360"/>
        <w:rPr>
          <w:color w:val="000000"/>
          <w:u w:val="none"/>
        </w:rPr>
      </w:pPr>
      <w:r w:rsidDel="00000000" w:rsidR="00000000" w:rsidRPr="00000000">
        <w:rPr>
          <w:color w:val="000000"/>
          <w:rtl w:val="0"/>
        </w:rPr>
        <w:t xml:space="preserve">Information Classification Guidelines</w:t>
      </w:r>
    </w:p>
    <w:p w:rsidR="00000000" w:rsidDel="00000000" w:rsidP="00000000" w:rsidRDefault="00000000" w:rsidRPr="00000000" w14:paraId="0000001C">
      <w:pPr>
        <w:spacing w:line="276" w:lineRule="auto"/>
        <w:rPr>
          <w:color w:val="000000"/>
        </w:rPr>
      </w:pPr>
      <w:r w:rsidDel="00000000" w:rsidR="00000000" w:rsidRPr="00000000">
        <w:rPr>
          <w:rtl w:val="0"/>
        </w:rPr>
      </w:r>
    </w:p>
    <w:p w:rsidR="00000000" w:rsidDel="00000000" w:rsidP="00000000" w:rsidRDefault="00000000" w:rsidRPr="00000000" w14:paraId="0000001D">
      <w:pPr>
        <w:spacing w:line="276" w:lineRule="auto"/>
        <w:rPr>
          <w:color w:val="000000"/>
        </w:rPr>
      </w:pPr>
      <w:r w:rsidDel="00000000" w:rsidR="00000000" w:rsidRPr="00000000">
        <w:rPr>
          <w:rtl w:val="0"/>
        </w:rPr>
      </w:r>
    </w:p>
    <w:p w:rsidR="00000000" w:rsidDel="00000000" w:rsidP="00000000" w:rsidRDefault="00000000" w:rsidRPr="00000000" w14:paraId="0000001E">
      <w:pPr>
        <w:spacing w:line="276" w:lineRule="auto"/>
        <w:rPr>
          <w:color w:val="000000"/>
        </w:rPr>
      </w:pPr>
      <w:r w:rsidDel="00000000" w:rsidR="00000000" w:rsidRPr="00000000">
        <w:rPr>
          <w:rtl w:val="0"/>
        </w:rPr>
      </w:r>
    </w:p>
    <w:p w:rsidR="00000000" w:rsidDel="00000000" w:rsidP="00000000" w:rsidRDefault="00000000" w:rsidRPr="00000000" w14:paraId="0000001F">
      <w:pPr>
        <w:spacing w:line="276" w:lineRule="auto"/>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line="276" w:lineRule="auto"/>
        <w:rPr>
          <w:color w:val="00000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Added to 13.3</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3"/>
        </w:numPr>
        <w:spacing w:line="276" w:lineRule="auto"/>
        <w:ind w:left="708.6614173228347" w:hanging="360"/>
        <w:rPr>
          <w:color w:val="000000"/>
        </w:rPr>
      </w:pPr>
      <w:r w:rsidDel="00000000" w:rsidR="00000000" w:rsidRPr="00000000">
        <w:rPr>
          <w:color w:val="000000"/>
          <w:rtl w:val="0"/>
        </w:rPr>
        <w:t xml:space="preserve">Adherence to an Acceptable Use Policy when using technology to ensure the security and confidentially of personal data when using all systems (including email) in all environments across the organisation.</w:t>
      </w:r>
    </w:p>
    <w:p w:rsidR="00000000" w:rsidDel="00000000" w:rsidP="00000000" w:rsidRDefault="00000000" w:rsidRPr="00000000" w14:paraId="00000024">
      <w:pPr>
        <w:numPr>
          <w:ilvl w:val="0"/>
          <w:numId w:val="3"/>
        </w:numPr>
        <w:spacing w:line="276" w:lineRule="auto"/>
        <w:ind w:left="708.6614173228347" w:hanging="360"/>
        <w:rPr>
          <w:color w:val="000000"/>
        </w:rPr>
      </w:pPr>
      <w:r w:rsidDel="00000000" w:rsidR="00000000" w:rsidRPr="00000000">
        <w:rPr>
          <w:color w:val="000000"/>
          <w:rtl w:val="0"/>
        </w:rPr>
        <w:t xml:space="preserve">Any email, messages or notifications should only be read a designated times of date and never in the vicinity of children, or other unauthorised individuals</w:t>
      </w:r>
    </w:p>
    <w:p w:rsidR="00000000" w:rsidDel="00000000" w:rsidP="00000000" w:rsidRDefault="00000000" w:rsidRPr="00000000" w14:paraId="00000025">
      <w:pPr>
        <w:numPr>
          <w:ilvl w:val="0"/>
          <w:numId w:val="3"/>
        </w:numPr>
        <w:spacing w:line="276" w:lineRule="auto"/>
        <w:ind w:left="708.6614173228347" w:hanging="360"/>
        <w:rPr>
          <w:color w:val="000000"/>
        </w:rPr>
      </w:pPr>
      <w:r w:rsidDel="00000000" w:rsidR="00000000" w:rsidRPr="00000000">
        <w:rPr>
          <w:color w:val="000000"/>
          <w:rtl w:val="0"/>
        </w:rPr>
        <w:t xml:space="preserve">Email classification should be in place, and emails flagged (or described in the subject line) as "Sensitve/Highly Sensitive" when appropriate.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before="360" w:line="264" w:lineRule="auto"/>
        <w:rPr>
          <w:rFonts w:ascii="Calibri" w:cs="Calibri" w:eastAsia="Calibri" w:hAnsi="Calibri"/>
          <w:sz w:val="48"/>
          <w:szCs w:val="48"/>
        </w:rPr>
      </w:pPr>
      <w:bookmarkStart w:colFirst="0" w:colLast="0" w:name="_44sinio" w:id="1"/>
      <w:bookmarkEnd w:id="1"/>
      <w:r w:rsidDel="00000000" w:rsidR="00000000" w:rsidRPr="00000000">
        <w:rPr>
          <w:rFonts w:ascii="Calibri" w:cs="Calibri" w:eastAsia="Calibri" w:hAnsi="Calibri"/>
          <w:sz w:val="48"/>
          <w:szCs w:val="48"/>
          <w:rtl w:val="0"/>
        </w:rPr>
        <w:t xml:space="preserve">15.  DATA BREACHES</w:t>
      </w:r>
    </w:p>
    <w:p w:rsidR="00000000" w:rsidDel="00000000" w:rsidP="00000000" w:rsidRDefault="00000000" w:rsidRPr="00000000" w14:paraId="0000002B">
      <w:pPr>
        <w:spacing w:line="264" w:lineRule="auto"/>
        <w:rPr>
          <w:color w:val="000000"/>
        </w:rPr>
      </w:pPr>
      <w:r w:rsidDel="00000000" w:rsidR="00000000" w:rsidRPr="00000000">
        <w:rPr>
          <w:color w:val="000000"/>
          <w:rtl w:val="0"/>
        </w:rPr>
        <w:t xml:space="preserve">15.1.  All stakeholders are responsible for reporting known breaches internally to a senior manager or to the Data Protection Officer as soon as the breach is recognised.</w:t>
      </w:r>
    </w:p>
    <w:p w:rsidR="00000000" w:rsidDel="00000000" w:rsidP="00000000" w:rsidRDefault="00000000" w:rsidRPr="00000000" w14:paraId="0000002C">
      <w:pPr>
        <w:spacing w:line="264" w:lineRule="auto"/>
        <w:rPr>
          <w:color w:val="000000"/>
        </w:rPr>
      </w:pPr>
      <w:r w:rsidDel="00000000" w:rsidR="00000000" w:rsidRPr="00000000">
        <w:rPr>
          <w:color w:val="000000"/>
          <w:rtl w:val="0"/>
        </w:rPr>
        <w:t xml:space="preserve">15.2 The organisation will keep and implement a dedicated Data Breach Procedure to ensure any personal data breaches, including the facts relating to the data breach, its effects and the remedial action taken, are recorded in a data breach log and acted on accordingly.</w:t>
      </w:r>
    </w:p>
    <w:p w:rsidR="00000000" w:rsidDel="00000000" w:rsidP="00000000" w:rsidRDefault="00000000" w:rsidRPr="00000000" w14:paraId="0000002D">
      <w:pPr>
        <w:spacing w:line="264" w:lineRule="auto"/>
        <w:rPr>
          <w:color w:val="000000"/>
        </w:rPr>
      </w:pPr>
      <w:r w:rsidDel="00000000" w:rsidR="00000000" w:rsidRPr="00000000">
        <w:rPr>
          <w:color w:val="000000"/>
          <w:rtl w:val="0"/>
        </w:rPr>
        <w:t xml:space="preserve">15.3 The log shall be monitored and assessed by the Data Protection Officer. It will enable them to verify compliance with the data breach rules and raise awareness of minor breaches that may assist in identifying new data handling processes and training requirements.</w:t>
      </w:r>
    </w:p>
    <w:p w:rsidR="00000000" w:rsidDel="00000000" w:rsidP="00000000" w:rsidRDefault="00000000" w:rsidRPr="00000000" w14:paraId="0000002E">
      <w:pPr>
        <w:spacing w:line="264" w:lineRule="auto"/>
        <w:rPr>
          <w:color w:val="000000"/>
        </w:rPr>
      </w:pPr>
      <w:r w:rsidDel="00000000" w:rsidR="00000000" w:rsidRPr="00000000">
        <w:rPr>
          <w:color w:val="000000"/>
          <w:rtl w:val="0"/>
        </w:rPr>
        <w:t xml:space="preserve">15.4. In the case of a personal data breach resulting in a likely risk to the rights and freedoms of natural personals, and after consultation with the Data Protection Officer, the organisation shall, without undue delay and, where feasible, not later than 72 hours after having become aware of it, notify the personal data breach to the Information Commissioner’s Office.</w:t>
      </w:r>
    </w:p>
    <w:p w:rsidR="00000000" w:rsidDel="00000000" w:rsidP="00000000" w:rsidRDefault="00000000" w:rsidRPr="00000000" w14:paraId="0000002F">
      <w:pPr>
        <w:spacing w:line="264" w:lineRule="auto"/>
        <w:rPr>
          <w:color w:val="000000"/>
        </w:rPr>
      </w:pPr>
      <w:r w:rsidDel="00000000" w:rsidR="00000000" w:rsidRPr="00000000">
        <w:rPr>
          <w:color w:val="000000"/>
          <w:rtl w:val="0"/>
        </w:rPr>
        <w:t xml:space="preserve">15.5. Where the notification to the Information Commissioner’s Office is not made within 72 hours, it shall be accompanied by reasons for the delay.</w:t>
      </w:r>
    </w:p>
    <w:p w:rsidR="00000000" w:rsidDel="00000000" w:rsidP="00000000" w:rsidRDefault="00000000" w:rsidRPr="00000000" w14:paraId="00000030">
      <w:pPr>
        <w:spacing w:line="264" w:lineRule="auto"/>
        <w:rPr>
          <w:color w:val="000000"/>
        </w:rPr>
      </w:pPr>
      <w:r w:rsidDel="00000000" w:rsidR="00000000" w:rsidRPr="00000000">
        <w:rPr>
          <w:color w:val="000000"/>
          <w:rtl w:val="0"/>
        </w:rPr>
        <w:t xml:space="preserve">15.6 In order to evaluate the personal data breach, the organisation shall, without undue delay, immediately inform and involve the Data Protection Officer in the assessment of the breach and in the execution of the data breach procedure to contain and manage the breach.</w:t>
      </w:r>
    </w:p>
    <w:p w:rsidR="00000000" w:rsidDel="00000000" w:rsidP="00000000" w:rsidRDefault="00000000" w:rsidRPr="00000000" w14:paraId="00000031">
      <w:pPr>
        <w:spacing w:line="264" w:lineRule="auto"/>
        <w:rPr>
          <w:b w:val="1"/>
          <w:color w:val="000000"/>
        </w:rPr>
      </w:pPr>
      <w:r w:rsidDel="00000000" w:rsidR="00000000" w:rsidRPr="00000000">
        <w:rPr>
          <w:color w:val="000000"/>
          <w:rtl w:val="0"/>
        </w:rPr>
        <w:t xml:space="preserve">15.7. </w:t>
      </w:r>
      <w:r w:rsidDel="00000000" w:rsidR="00000000" w:rsidRPr="00000000">
        <w:rPr>
          <w:b w:val="1"/>
          <w:color w:val="000000"/>
          <w:rtl w:val="0"/>
        </w:rPr>
        <w:t xml:space="preserve">The notification to the Information Commissioner's Office shall at least:</w:t>
      </w:r>
    </w:p>
    <w:p w:rsidR="00000000" w:rsidDel="00000000" w:rsidP="00000000" w:rsidRDefault="00000000" w:rsidRPr="00000000" w14:paraId="00000032">
      <w:pPr>
        <w:numPr>
          <w:ilvl w:val="0"/>
          <w:numId w:val="2"/>
        </w:numPr>
        <w:spacing w:after="0" w:line="264" w:lineRule="auto"/>
        <w:ind w:left="708" w:hanging="360"/>
        <w:rPr>
          <w:color w:val="000000"/>
        </w:rPr>
      </w:pPr>
      <w:r w:rsidDel="00000000" w:rsidR="00000000" w:rsidRPr="00000000">
        <w:rPr>
          <w:color w:val="000000"/>
          <w:rtl w:val="0"/>
        </w:rPr>
        <w:t xml:space="preserve">describe the nature of the personal data breach, including, where possible, the categories and approximate number of data subjects concerned and the categories and approximate number of personal data records concerned;</w:t>
      </w:r>
    </w:p>
    <w:p w:rsidR="00000000" w:rsidDel="00000000" w:rsidP="00000000" w:rsidRDefault="00000000" w:rsidRPr="00000000" w14:paraId="00000033">
      <w:pPr>
        <w:numPr>
          <w:ilvl w:val="0"/>
          <w:numId w:val="2"/>
        </w:numPr>
        <w:spacing w:after="0" w:line="264" w:lineRule="auto"/>
        <w:ind w:left="708" w:hanging="360"/>
        <w:rPr>
          <w:color w:val="000000"/>
        </w:rPr>
      </w:pPr>
      <w:r w:rsidDel="00000000" w:rsidR="00000000" w:rsidRPr="00000000">
        <w:rPr>
          <w:color w:val="000000"/>
          <w:rtl w:val="0"/>
        </w:rPr>
        <w:t xml:space="preserve">communicate the name and contact details of the data protection officer or other contact points where more information can be obtained;</w:t>
      </w:r>
    </w:p>
    <w:p w:rsidR="00000000" w:rsidDel="00000000" w:rsidP="00000000" w:rsidRDefault="00000000" w:rsidRPr="00000000" w14:paraId="00000034">
      <w:pPr>
        <w:numPr>
          <w:ilvl w:val="0"/>
          <w:numId w:val="2"/>
        </w:numPr>
        <w:spacing w:after="0" w:line="264" w:lineRule="auto"/>
        <w:ind w:left="708" w:hanging="360"/>
        <w:rPr>
          <w:color w:val="000000"/>
        </w:rPr>
      </w:pPr>
      <w:r w:rsidDel="00000000" w:rsidR="00000000" w:rsidRPr="00000000">
        <w:rPr>
          <w:color w:val="000000"/>
          <w:rtl w:val="0"/>
        </w:rPr>
        <w:t xml:space="preserve">describe the likely consequences of the personal data breach;</w:t>
      </w:r>
    </w:p>
    <w:p w:rsidR="00000000" w:rsidDel="00000000" w:rsidP="00000000" w:rsidRDefault="00000000" w:rsidRPr="00000000" w14:paraId="00000035">
      <w:pPr>
        <w:numPr>
          <w:ilvl w:val="0"/>
          <w:numId w:val="2"/>
        </w:numPr>
        <w:spacing w:after="0" w:line="264" w:lineRule="auto"/>
        <w:ind w:left="708" w:hanging="360"/>
        <w:rPr>
          <w:color w:val="000000"/>
        </w:rPr>
      </w:pPr>
      <w:r w:rsidDel="00000000" w:rsidR="00000000" w:rsidRPr="00000000">
        <w:rPr>
          <w:color w:val="000000"/>
          <w:rtl w:val="0"/>
        </w:rPr>
        <w:t xml:space="preserve">describe the measures taken or proposed to be taken by the controller to address the personal data breach, including, where appropriate, measures to mitigate its possible adverse effects;</w:t>
      </w:r>
    </w:p>
    <w:p w:rsidR="00000000" w:rsidDel="00000000" w:rsidP="00000000" w:rsidRDefault="00000000" w:rsidRPr="00000000" w14:paraId="00000036">
      <w:pPr>
        <w:numPr>
          <w:ilvl w:val="0"/>
          <w:numId w:val="2"/>
        </w:numPr>
        <w:spacing w:line="264" w:lineRule="auto"/>
        <w:ind w:left="708" w:hanging="360"/>
        <w:rPr>
          <w:color w:val="000000"/>
        </w:rPr>
      </w:pPr>
      <w:r w:rsidDel="00000000" w:rsidR="00000000" w:rsidRPr="00000000">
        <w:rPr>
          <w:color w:val="000000"/>
          <w:rtl w:val="0"/>
        </w:rPr>
        <w:t xml:space="preserve">Where, and in so far as it is not possible to provide the information at the same time, the information may be provided in phases without undue further delay.</w:t>
      </w:r>
    </w:p>
    <w:p w:rsidR="00000000" w:rsidDel="00000000" w:rsidP="00000000" w:rsidRDefault="00000000" w:rsidRPr="00000000" w14:paraId="00000037">
      <w:pPr>
        <w:spacing w:line="264" w:lineRule="auto"/>
        <w:rPr>
          <w:color w:val="000000"/>
        </w:rPr>
      </w:pPr>
      <w:r w:rsidDel="00000000" w:rsidR="00000000" w:rsidRPr="00000000">
        <w:rPr>
          <w:color w:val="000000"/>
          <w:rtl w:val="0"/>
        </w:rPr>
        <w:t xml:space="preserve">15.8 Where breaches are reportable to the Information Commissioner's Office, the senior leadership team should immediately inform members of the organisation's appropriate governance board or risk committee.</w:t>
      </w:r>
    </w:p>
    <w:p w:rsidR="00000000" w:rsidDel="00000000" w:rsidP="00000000" w:rsidRDefault="00000000" w:rsidRPr="00000000" w14:paraId="00000038">
      <w:pPr>
        <w:spacing w:line="264" w:lineRule="auto"/>
        <w:rPr>
          <w:color w:val="000000"/>
        </w:rPr>
      </w:pPr>
      <w:r w:rsidDel="00000000" w:rsidR="00000000" w:rsidRPr="00000000">
        <w:rPr>
          <w:color w:val="000000"/>
          <w:rtl w:val="0"/>
        </w:rPr>
        <w:t xml:space="preserve">15.9 For examples of data breaches, please see Appendix 2</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line="264" w:lineRule="auto"/>
        <w:rPr>
          <w:color w:val="000000"/>
        </w:rPr>
      </w:pPr>
      <w:r w:rsidDel="00000000" w:rsidR="00000000" w:rsidRPr="00000000">
        <w:rPr>
          <w:color w:val="000000"/>
          <w:rtl w:val="0"/>
        </w:rPr>
        <w:t xml:space="preserve">22.1.  The organisation shall ensure that all members of staff receive data protection training, including training on information handling appropriate to their role in order to ensure data protection competence in their role. This training shall be completed every two years as a minimum.</w:t>
      </w:r>
    </w:p>
    <w:p w:rsidR="00000000" w:rsidDel="00000000" w:rsidP="00000000" w:rsidRDefault="00000000" w:rsidRPr="00000000" w14:paraId="0000003C">
      <w:pPr>
        <w:spacing w:line="264" w:lineRule="auto"/>
        <w:rPr>
          <w:color w:val="000000"/>
        </w:rPr>
      </w:pPr>
      <w:r w:rsidDel="00000000" w:rsidR="00000000" w:rsidRPr="00000000">
        <w:rPr>
          <w:rtl w:val="0"/>
        </w:rPr>
      </w:r>
    </w:p>
    <w:p w:rsidR="00000000" w:rsidDel="00000000" w:rsidP="00000000" w:rsidRDefault="00000000" w:rsidRPr="00000000" w14:paraId="0000003D">
      <w:pPr>
        <w:spacing w:line="264" w:lineRule="auto"/>
        <w:rPr>
          <w:color w:val="000000"/>
        </w:rPr>
      </w:pPr>
      <w:r w:rsidDel="00000000" w:rsidR="00000000" w:rsidRPr="00000000">
        <w:rPr>
          <w:rtl w:val="0"/>
        </w:rPr>
      </w:r>
    </w:p>
    <w:p w:rsidR="00000000" w:rsidDel="00000000" w:rsidP="00000000" w:rsidRDefault="00000000" w:rsidRPr="00000000" w14:paraId="0000003E">
      <w:pPr>
        <w:spacing w:line="264" w:lineRule="auto"/>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line="264" w:lineRule="auto"/>
        <w:rPr>
          <w:color w:val="00000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595959"/>
        <w:sz w:val="24"/>
        <w:szCs w:val="24"/>
        <w:lang w:val="en_GB"/>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pPr>
    <w:rPr>
      <w:rFonts w:ascii="Calibri" w:cs="Calibri" w:eastAsia="Calibri" w:hAnsi="Calibri"/>
      <w:b w:val="1"/>
      <w:color w:val="52a6cc"/>
      <w:sz w:val="40"/>
      <w:szCs w:val="40"/>
    </w:rPr>
  </w:style>
  <w:style w:type="paragraph" w:styleId="Heading2">
    <w:name w:val="heading 2"/>
    <w:basedOn w:val="Normal"/>
    <w:next w:val="Normal"/>
    <w:pPr>
      <w:pageBreakBefore w:val="0"/>
    </w:pPr>
    <w:rPr>
      <w:b w:val="1"/>
      <w:color w:val="52a6cc"/>
      <w:sz w:val="32"/>
      <w:szCs w:val="32"/>
    </w:rPr>
  </w:style>
  <w:style w:type="paragraph" w:styleId="Heading3">
    <w:name w:val="heading 3"/>
    <w:basedOn w:val="Normal"/>
    <w:next w:val="Normal"/>
    <w:pPr>
      <w:pageBreakBefore w:val="0"/>
    </w:pPr>
    <w:rPr>
      <w:b w:val="1"/>
      <w:color w:val="52a6cc"/>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before="480" w:lineRule="auto"/>
    </w:pPr>
    <w:rPr>
      <w:b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4472c4"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