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b w:val="0"/>
          <w:color w:val="4bacc6"/>
          <w:sz w:val="28"/>
          <w:szCs w:val="28"/>
        </w:rPr>
      </w:pPr>
      <w:r w:rsidDel="00000000" w:rsidR="00000000" w:rsidRPr="00000000">
        <w:rPr>
          <w:color w:val="4bacc6"/>
          <w:sz w:val="28"/>
          <w:szCs w:val="28"/>
          <w:rtl w:val="0"/>
        </w:rPr>
        <w:t xml:space="preserve">School: Wymondham Cluster Group Workshop        Date: </w:t>
      </w:r>
      <w:r w:rsidDel="00000000" w:rsidR="00000000" w:rsidRPr="00000000">
        <w:rPr>
          <w:b w:val="0"/>
          <w:color w:val="4bacc6"/>
          <w:sz w:val="28"/>
          <w:szCs w:val="28"/>
          <w:rtl w:val="0"/>
        </w:rPr>
        <w:t xml:space="preserve">26/01/21  and 28/01/21</w:t>
      </w:r>
    </w:p>
    <w:p w:rsidR="00000000" w:rsidDel="00000000" w:rsidP="00000000" w:rsidRDefault="00000000" w:rsidRPr="00000000" w14:paraId="00000002">
      <w:pPr>
        <w:jc w:val="both"/>
        <w:rPr>
          <w:rFonts w:ascii="Calibri" w:cs="Calibri" w:eastAsia="Calibri" w:hAnsi="Calibri"/>
          <w:b w:val="1"/>
          <w:color w:val="0591b4"/>
          <w:sz w:val="28"/>
          <w:szCs w:val="28"/>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b w:val="1"/>
          <w:color w:val="0591b4"/>
          <w:sz w:val="28"/>
          <w:szCs w:val="28"/>
        </w:rPr>
      </w:pPr>
      <w:r w:rsidDel="00000000" w:rsidR="00000000" w:rsidRPr="00000000">
        <w:rPr>
          <w:rFonts w:ascii="Calibri" w:cs="Calibri" w:eastAsia="Calibri" w:hAnsi="Calibri"/>
          <w:b w:val="1"/>
          <w:color w:val="0591b4"/>
          <w:sz w:val="28"/>
          <w:szCs w:val="28"/>
          <w:rtl w:val="0"/>
        </w:rPr>
        <w:t xml:space="preserve">DPE:</w:t>
      </w:r>
      <w:r w:rsidDel="00000000" w:rsidR="00000000" w:rsidRPr="00000000">
        <w:rPr>
          <w:rFonts w:ascii="Calibri" w:cs="Calibri" w:eastAsia="Calibri" w:hAnsi="Calibri"/>
          <w:color w:val="0591b4"/>
          <w:sz w:val="28"/>
          <w:szCs w:val="28"/>
          <w:rtl w:val="0"/>
        </w:rPr>
        <w:t xml:space="preserve"> Stuart Lee, Linda Mortimer and Kalina Voyvodova  </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sz w:val="32"/>
          <w:szCs w:val="32"/>
        </w:rPr>
      </w:pPr>
      <w:r w:rsidDel="00000000" w:rsidR="00000000" w:rsidRPr="00000000">
        <w:rPr>
          <w:rFonts w:ascii="Calibri" w:cs="Calibri" w:eastAsia="Calibri" w:hAnsi="Calibri"/>
          <w:b w:val="1"/>
          <w:color w:val="0591b4"/>
          <w:sz w:val="28"/>
          <w:szCs w:val="28"/>
          <w:rtl w:val="0"/>
        </w:rPr>
        <w:t xml:space="preserve">Report: </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color w:val="0591b4"/>
          <w:sz w:val="28"/>
          <w:szCs w:val="28"/>
          <w:rtl w:val="0"/>
        </w:rPr>
        <w:t xml:space="preserve"> Group workshop content and actions</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32"/>
          <w:szCs w:val="32"/>
          <w:rtl w:val="0"/>
        </w:rPr>
        <w:t xml:space="preserve">         </w:t>
      </w:r>
    </w:p>
    <w:p w:rsidR="00000000" w:rsidDel="00000000" w:rsidP="00000000" w:rsidRDefault="00000000" w:rsidRPr="00000000" w14:paraId="00000005">
      <w:pPr>
        <w:shd w:fill="9cc5db" w:val="clear"/>
        <w:jc w:val="both"/>
        <w:rPr>
          <w:rFonts w:ascii="Calibri" w:cs="Calibri" w:eastAsia="Calibri" w:hAnsi="Calibri"/>
        </w:rPr>
      </w:pPr>
      <w:r w:rsidDel="00000000" w:rsidR="00000000" w:rsidRPr="00000000">
        <w:rPr>
          <w:rFonts w:ascii="Calibri" w:cs="Calibri" w:eastAsia="Calibri" w:hAnsi="Calibri"/>
          <w:color w:val="9cc5db"/>
          <w:sz w:val="2"/>
          <w:szCs w:val="2"/>
          <w:rtl w:val="0"/>
        </w:rPr>
        <w:t xml:space="preserve">_</w:t>
      </w:r>
      <w:r w:rsidDel="00000000" w:rsidR="00000000" w:rsidRPr="00000000">
        <w:rPr>
          <w:rtl w:val="0"/>
        </w:rPr>
      </w:r>
    </w:p>
    <w:p w:rsidR="00000000" w:rsidDel="00000000" w:rsidP="00000000" w:rsidRDefault="00000000" w:rsidRPr="00000000" w14:paraId="0000000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Workshop details</w:t>
      </w:r>
    </w:p>
    <w:p w:rsidR="00000000" w:rsidDel="00000000" w:rsidP="00000000" w:rsidRDefault="00000000" w:rsidRPr="00000000" w14:paraId="00000008">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Website demonstration, including best practice areas and updates to existing policies/documentation</w:t>
      </w:r>
      <w:r w:rsidDel="00000000" w:rsidR="00000000" w:rsidRPr="00000000">
        <w:rPr>
          <w:rtl w:val="0"/>
        </w:rPr>
      </w:r>
    </w:p>
    <w:p w:rsidR="00000000" w:rsidDel="00000000" w:rsidP="00000000" w:rsidRDefault="00000000" w:rsidRPr="00000000" w14:paraId="00000009">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Review of training i.e. GDPR refresher and work away from school</w:t>
      </w:r>
      <w:r w:rsidDel="00000000" w:rsidR="00000000" w:rsidRPr="00000000">
        <w:rPr>
          <w:rtl w:val="0"/>
        </w:rPr>
      </w:r>
    </w:p>
    <w:p w:rsidR="00000000" w:rsidDel="00000000" w:rsidP="00000000" w:rsidRDefault="00000000" w:rsidRPr="00000000" w14:paraId="0000000A">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Introduce Kalina and Linda</w:t>
      </w:r>
      <w:r w:rsidDel="00000000" w:rsidR="00000000" w:rsidRPr="00000000">
        <w:rPr>
          <w:rtl w:val="0"/>
        </w:rPr>
      </w:r>
    </w:p>
    <w:p w:rsidR="00000000" w:rsidDel="00000000" w:rsidP="00000000" w:rsidRDefault="00000000" w:rsidRPr="00000000" w14:paraId="0000000B">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Online internal audit walk templates and completing internal walks </w:t>
      </w:r>
      <w:r w:rsidDel="00000000" w:rsidR="00000000" w:rsidRPr="00000000">
        <w:rPr>
          <w:rtl w:val="0"/>
        </w:rPr>
      </w:r>
    </w:p>
    <w:p w:rsidR="00000000" w:rsidDel="00000000" w:rsidP="00000000" w:rsidRDefault="00000000" w:rsidRPr="00000000" w14:paraId="0000000C">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Record of processing (RoP) - a demonstration of the RoP tool</w:t>
      </w:r>
      <w:r w:rsidDel="00000000" w:rsidR="00000000" w:rsidRPr="00000000">
        <w:rPr>
          <w:rtl w:val="0"/>
        </w:rPr>
      </w:r>
    </w:p>
    <w:p w:rsidR="00000000" w:rsidDel="00000000" w:rsidP="00000000" w:rsidRDefault="00000000" w:rsidRPr="00000000" w14:paraId="0000000D">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Q and As</w:t>
      </w:r>
    </w:p>
    <w:p w:rsidR="00000000" w:rsidDel="00000000" w:rsidP="00000000" w:rsidRDefault="00000000" w:rsidRPr="00000000" w14:paraId="0000000E">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Priorities and follow up actions from the workshop: </w:t>
      </w:r>
    </w:p>
    <w:p w:rsidR="00000000" w:rsidDel="00000000" w:rsidP="00000000" w:rsidRDefault="00000000" w:rsidRPr="00000000" w14:paraId="0000000F">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Update the GDPR Policy and Privacy Notices</w:t>
      </w:r>
      <w:r w:rsidDel="00000000" w:rsidR="00000000" w:rsidRPr="00000000">
        <w:rPr>
          <w:rFonts w:ascii="Calibri" w:cs="Calibri" w:eastAsia="Calibri" w:hAnsi="Calibri"/>
          <w:sz w:val="24"/>
          <w:szCs w:val="24"/>
          <w:rtl w:val="0"/>
        </w:rPr>
        <w:t xml:space="preserve">. Karen had updated documents Autumn 2020 to include </w:t>
      </w:r>
      <w:r w:rsidDel="00000000" w:rsidR="00000000" w:rsidRPr="00000000">
        <w:rPr>
          <w:rFonts w:ascii="Calibri" w:cs="Calibri" w:eastAsia="Calibri" w:hAnsi="Calibri"/>
          <w:sz w:val="24"/>
          <w:szCs w:val="24"/>
          <w:rtl w:val="0"/>
        </w:rPr>
        <w:t xml:space="preserve">COVID-19 related information. As there are now separate Privacy Notices for: Workforce, General and Students and there is also a child friendly notice, it was recommended that the Cluster update their documentation to the latest versions at some point. </w:t>
      </w:r>
      <w:r w:rsidDel="00000000" w:rsidR="00000000" w:rsidRPr="00000000">
        <w:rPr>
          <w:rtl w:val="0"/>
        </w:rPr>
      </w:r>
    </w:p>
    <w:p w:rsidR="00000000" w:rsidDel="00000000" w:rsidP="00000000" w:rsidRDefault="00000000" w:rsidRPr="00000000" w14:paraId="00000010">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Training:</w:t>
      </w:r>
    </w:p>
    <w:p w:rsidR="00000000" w:rsidDel="00000000" w:rsidP="00000000" w:rsidRDefault="00000000" w:rsidRPr="00000000" w14:paraId="00000011">
      <w:pPr>
        <w:numPr>
          <w:ilvl w:val="0"/>
          <w:numId w:val="3"/>
        </w:numPr>
        <w:ind w:left="144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Review training completed, and follow up with staff yet to complete GDPR training</w:t>
      </w:r>
    </w:p>
    <w:p w:rsidR="00000000" w:rsidDel="00000000" w:rsidP="00000000" w:rsidRDefault="00000000" w:rsidRPr="00000000" w14:paraId="00000012">
      <w:pPr>
        <w:numPr>
          <w:ilvl w:val="0"/>
          <w:numId w:val="3"/>
        </w:numPr>
        <w:ind w:left="144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Identify any additional training modules that can be completed; work away from school and data breaches etc</w:t>
      </w:r>
    </w:p>
    <w:p w:rsidR="00000000" w:rsidDel="00000000" w:rsidP="00000000" w:rsidRDefault="00000000" w:rsidRPr="00000000" w14:paraId="00000013">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Publication scheme</w:t>
      </w:r>
      <w:r w:rsidDel="00000000" w:rsidR="00000000" w:rsidRPr="00000000">
        <w:rPr>
          <w:rFonts w:ascii="Calibri" w:cs="Calibri" w:eastAsia="Calibri" w:hAnsi="Calibri"/>
          <w:sz w:val="24"/>
          <w:szCs w:val="24"/>
          <w:rtl w:val="0"/>
        </w:rPr>
        <w:t xml:space="preserve">: Karen had recently updated the publication scheme and disseminated to the Cluster. Since Karen has provided this to the Cluster DPE has provided a further update. Karen can liaise with Linda for support if she thinks the current Publication Scheme needs reviewing. </w:t>
      </w:r>
    </w:p>
    <w:p w:rsidR="00000000" w:rsidDel="00000000" w:rsidP="00000000" w:rsidRDefault="00000000" w:rsidRPr="00000000" w14:paraId="00000014">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Internal audit walks: </w:t>
      </w:r>
      <w:r w:rsidDel="00000000" w:rsidR="00000000" w:rsidRPr="00000000">
        <w:rPr>
          <w:rFonts w:ascii="Calibri" w:cs="Calibri" w:eastAsia="Calibri" w:hAnsi="Calibri"/>
          <w:sz w:val="24"/>
          <w:szCs w:val="24"/>
          <w:rtl w:val="0"/>
        </w:rPr>
        <w:t xml:space="preserve">Demonstrated the online walk during the consultation. Suggested the Cluster could also complete their own end of day walk and report findings back to staff (raising awareness)</w:t>
      </w:r>
    </w:p>
    <w:p w:rsidR="00000000" w:rsidDel="00000000" w:rsidP="00000000" w:rsidRDefault="00000000" w:rsidRPr="00000000" w14:paraId="00000015">
      <w:pPr>
        <w:numPr>
          <w:ilvl w:val="0"/>
          <w:numId w:val="1"/>
        </w:numPr>
        <w:ind w:left="720" w:hanging="360"/>
        <w:jc w:val="both"/>
        <w:rPr>
          <w:rFonts w:ascii="Calibri" w:cs="Calibri" w:eastAsia="Calibri" w:hAnsi="Calibri"/>
          <w:b w:val="1"/>
          <w:color w:val="ff0000"/>
          <w:sz w:val="24"/>
          <w:szCs w:val="24"/>
        </w:rPr>
      </w:pPr>
      <w:r w:rsidDel="00000000" w:rsidR="00000000" w:rsidRPr="00000000">
        <w:rPr>
          <w:rFonts w:ascii="Calibri" w:cs="Calibri" w:eastAsia="Calibri" w:hAnsi="Calibri"/>
          <w:b w:val="1"/>
          <w:sz w:val="24"/>
          <w:szCs w:val="24"/>
          <w:rtl w:val="0"/>
        </w:rPr>
        <w:t xml:space="preserve">Record of Processing (RoP): Demonstration completed (step 1).</w:t>
      </w:r>
      <w:r w:rsidDel="00000000" w:rsidR="00000000" w:rsidRPr="00000000">
        <w:rPr>
          <w:rFonts w:ascii="Calibri" w:cs="Calibri" w:eastAsia="Calibri" w:hAnsi="Calibri"/>
          <w:sz w:val="24"/>
          <w:szCs w:val="24"/>
          <w:rtl w:val="0"/>
        </w:rPr>
        <w:t xml:space="preserve"> Both SL and LM will follow up with individual schools to support as needed. </w:t>
      </w:r>
      <w:r w:rsidDel="00000000" w:rsidR="00000000" w:rsidRPr="00000000">
        <w:rPr>
          <w:rFonts w:ascii="Calibri" w:cs="Calibri" w:eastAsia="Calibri" w:hAnsi="Calibri"/>
          <w:color w:val="ff0000"/>
          <w:sz w:val="24"/>
          <w:szCs w:val="24"/>
          <w:rtl w:val="0"/>
        </w:rPr>
        <w:t xml:space="preserve">DPE will be providing online workshops shortly. The Cluster to confirm whether they would like an interactive workshop where schools can work on their own RoPs. Please note: </w:t>
      </w:r>
      <w:r w:rsidDel="00000000" w:rsidR="00000000" w:rsidRPr="00000000">
        <w:rPr>
          <w:rFonts w:ascii="Calibri" w:cs="Calibri" w:eastAsia="Calibri" w:hAnsi="Calibri"/>
          <w:b w:val="1"/>
          <w:color w:val="ff0000"/>
          <w:sz w:val="24"/>
          <w:szCs w:val="24"/>
          <w:rtl w:val="0"/>
        </w:rPr>
        <w:t xml:space="preserve">Many of the schools in the CLuster buy into GDPRiS and have the option of using this to support the record of processing. </w:t>
      </w:r>
    </w:p>
    <w:p w:rsidR="00000000" w:rsidDel="00000000" w:rsidP="00000000" w:rsidRDefault="00000000" w:rsidRPr="00000000" w14:paraId="00000016">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Compliance action best practice area/checklist and governor best practice area</w:t>
      </w:r>
      <w:r w:rsidDel="00000000" w:rsidR="00000000" w:rsidRPr="00000000">
        <w:rPr>
          <w:rFonts w:ascii="Calibri" w:cs="Calibri" w:eastAsia="Calibri" w:hAnsi="Calibri"/>
          <w:sz w:val="24"/>
          <w:szCs w:val="24"/>
          <w:rtl w:val="0"/>
        </w:rPr>
        <w:t xml:space="preserve">: Demonstrated the compliance best practice area/checklist which can be used to manage progress, print off compliance documents and reports for Trustees/Governors, whilst supporting consultants during visits/remote consultations.</w:t>
      </w:r>
    </w:p>
    <w:p w:rsidR="00000000" w:rsidDel="00000000" w:rsidP="00000000" w:rsidRDefault="00000000" w:rsidRPr="00000000" w14:paraId="00000017">
      <w:pP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Links and additional guidance in order of follow up actions detailed below:</w:t>
      </w:r>
    </w:p>
    <w:p w:rsidR="00000000" w:rsidDel="00000000" w:rsidP="00000000" w:rsidRDefault="00000000" w:rsidRPr="00000000" w14:paraId="00000018">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B">
      <w:pPr>
        <w:spacing w:after="12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1. GDPR policy update and Privacy notice updates</w:t>
      </w:r>
    </w:p>
    <w:p w:rsidR="00000000" w:rsidDel="00000000" w:rsidP="00000000" w:rsidRDefault="00000000" w:rsidRPr="00000000" w14:paraId="0000001D">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The latest GDPR policy and Privacy Notices can be located from the compliance best practice area: </w:t>
      </w:r>
      <w:hyperlink r:id="rId7">
        <w:r w:rsidDel="00000000" w:rsidR="00000000" w:rsidRPr="00000000">
          <w:rPr>
            <w:rFonts w:ascii="Calibri" w:cs="Calibri" w:eastAsia="Calibri" w:hAnsi="Calibri"/>
            <w:color w:val="0563c1"/>
            <w:sz w:val="24"/>
            <w:szCs w:val="24"/>
            <w:u w:val="single"/>
            <w:rtl w:val="0"/>
          </w:rPr>
          <w:t xml:space="preserve">https://dataprotection.education/index.php/best-practice-library/best-practice/commitment-to-compliance</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1E">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Regardless of adopting the very latest documents your current privacy notice and policy should now include sections for COVID-19  - refer to the July 17 update: </w:t>
      </w:r>
      <w:hyperlink r:id="rId8">
        <w:r w:rsidDel="00000000" w:rsidR="00000000" w:rsidRPr="00000000">
          <w:rPr>
            <w:rFonts w:ascii="Calibri" w:cs="Calibri" w:eastAsia="Calibri" w:hAnsi="Calibri"/>
            <w:color w:val="1155cc"/>
            <w:sz w:val="24"/>
            <w:szCs w:val="24"/>
            <w:u w:val="single"/>
            <w:rtl w:val="0"/>
          </w:rPr>
          <w:t xml:space="preserve">https://dataprotection.education/index.php/best-practice-library/best-practice/coronavirus</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1F">
      <w:pP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2. Setting staff up for e-learning training and mini training guides</w:t>
      </w:r>
    </w:p>
    <w:p w:rsidR="00000000" w:rsidDel="00000000" w:rsidP="00000000" w:rsidRDefault="00000000" w:rsidRPr="00000000" w14:paraId="00000020">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You should now be reviewing training i.e. GDPR refresher, data breaches and work away from school. You can check which staff have or have not completed the various modules by selecting the reports from your dashboard:  </w:t>
      </w:r>
      <w:hyperlink r:id="rId9">
        <w:r w:rsidDel="00000000" w:rsidR="00000000" w:rsidRPr="00000000">
          <w:rPr>
            <w:rFonts w:ascii="Calibri" w:cs="Calibri" w:eastAsia="Calibri" w:hAnsi="Calibri"/>
            <w:color w:val="1155cc"/>
            <w:sz w:val="24"/>
            <w:szCs w:val="24"/>
            <w:u w:val="single"/>
            <w:rtl w:val="0"/>
          </w:rPr>
          <w:t xml:space="preserve">https://dataprotection.education/manager-reports?view=reports</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21">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Users can be set up on the system by adding individually or importing as a group: </w:t>
      </w:r>
      <w:hyperlink r:id="rId10">
        <w:r w:rsidDel="00000000" w:rsidR="00000000" w:rsidRPr="00000000">
          <w:rPr>
            <w:rFonts w:ascii="Calibri" w:cs="Calibri" w:eastAsia="Calibri" w:hAnsi="Calibri"/>
            <w:color w:val="0563c1"/>
            <w:sz w:val="24"/>
            <w:szCs w:val="24"/>
            <w:u w:val="single"/>
            <w:rtl w:val="0"/>
          </w:rPr>
          <w:t xml:space="preserve">https://dataprotection.education/student-list/users</w:t>
        </w:r>
      </w:hyperlink>
      <w:r w:rsidDel="00000000" w:rsidR="00000000" w:rsidRPr="00000000">
        <w:rPr>
          <w:rFonts w:ascii="Calibri" w:cs="Calibri" w:eastAsia="Calibri" w:hAnsi="Calibri"/>
          <w:color w:val="595959"/>
          <w:sz w:val="24"/>
          <w:szCs w:val="24"/>
          <w:rtl w:val="0"/>
        </w:rPr>
        <w:t xml:space="preserve">)  Kalina at DPE (client support) is here to help you and can be contacted for support at: kalina.voyvodova@dataprotection.education  </w:t>
      </w:r>
    </w:p>
    <w:p w:rsidR="00000000" w:rsidDel="00000000" w:rsidP="00000000" w:rsidRDefault="00000000" w:rsidRPr="00000000" w14:paraId="00000022">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595959"/>
          <w:sz w:val="24"/>
          <w:szCs w:val="24"/>
          <w:rtl w:val="0"/>
        </w:rPr>
        <w:t xml:space="preserve">All staff should now have completed some form of data protection training.</w:t>
      </w:r>
      <w:r w:rsidDel="00000000" w:rsidR="00000000" w:rsidRPr="00000000">
        <w:rPr>
          <w:rtl w:val="0"/>
        </w:rPr>
      </w:r>
    </w:p>
    <w:p w:rsidR="00000000" w:rsidDel="00000000" w:rsidP="00000000" w:rsidRDefault="00000000" w:rsidRPr="00000000" w14:paraId="00000023">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The dashboard now has mini training videos for many of the main areas, including data breaches and SARS. There is also a data breach and SAR best practice area where all the information is now situated.</w:t>
      </w:r>
    </w:p>
    <w:p w:rsidR="00000000" w:rsidDel="00000000" w:rsidP="00000000" w:rsidRDefault="00000000" w:rsidRPr="00000000" w14:paraId="00000024">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3. Publication scheme </w:t>
      </w:r>
    </w:p>
    <w:p w:rsidR="00000000" w:rsidDel="00000000" w:rsidP="00000000" w:rsidRDefault="00000000" w:rsidRPr="00000000" w14:paraId="00000025">
      <w:pPr>
        <w:spacing w:after="120" w:lineRule="auto"/>
        <w:rPr>
          <w:rFonts w:ascii="Calibri" w:cs="Calibri" w:eastAsia="Calibri" w:hAnsi="Calibri"/>
          <w:b w:val="1"/>
          <w:color w:val="595959"/>
          <w:sz w:val="24"/>
          <w:szCs w:val="24"/>
        </w:rPr>
      </w:pPr>
      <w:r w:rsidDel="00000000" w:rsidR="00000000" w:rsidRPr="00000000">
        <w:rPr>
          <w:rFonts w:ascii="Calibri" w:cs="Calibri" w:eastAsia="Calibri" w:hAnsi="Calibri"/>
          <w:color w:val="595959"/>
          <w:sz w:val="24"/>
          <w:szCs w:val="24"/>
          <w:rtl w:val="0"/>
        </w:rPr>
        <w:t xml:space="preserve">The publication scheme has now been updated and as a public authority you should have one.  </w:t>
      </w:r>
      <w:r w:rsidDel="00000000" w:rsidR="00000000" w:rsidRPr="00000000">
        <w:rPr>
          <w:rFonts w:ascii="Calibri" w:cs="Calibri" w:eastAsia="Calibri" w:hAnsi="Calibri"/>
          <w:b w:val="1"/>
          <w:color w:val="595959"/>
          <w:sz w:val="24"/>
          <w:szCs w:val="24"/>
          <w:rtl w:val="0"/>
        </w:rPr>
        <w:t xml:space="preserve">The updated guidance can be obtained from: </w:t>
      </w:r>
      <w:hyperlink r:id="rId11">
        <w:r w:rsidDel="00000000" w:rsidR="00000000" w:rsidRPr="00000000">
          <w:rPr>
            <w:rFonts w:ascii="Calibri" w:cs="Calibri" w:eastAsia="Calibri" w:hAnsi="Calibri"/>
            <w:color w:val="1155cc"/>
            <w:sz w:val="24"/>
            <w:szCs w:val="24"/>
            <w:u w:val="single"/>
            <w:rtl w:val="0"/>
          </w:rPr>
          <w:t xml:space="preserve">https://dataprotection.education/news-top/news/83-best-practice-updates/182-model-publication-scheme-amendments-improvements-and-updates</w:t>
        </w:r>
      </w:hyperlink>
      <w:r w:rsidDel="00000000" w:rsidR="00000000" w:rsidRPr="00000000">
        <w:rPr>
          <w:rFonts w:ascii="Calibri" w:cs="Calibri" w:eastAsia="Calibri" w:hAnsi="Calibri"/>
          <w:color w:val="595959"/>
          <w:sz w:val="24"/>
          <w:szCs w:val="24"/>
          <w:rtl w:val="0"/>
        </w:rPr>
        <w:t xml:space="preserve"> </w:t>
      </w:r>
      <w:r w:rsidDel="00000000" w:rsidR="00000000" w:rsidRPr="00000000">
        <w:rPr>
          <w:rtl w:val="0"/>
        </w:rPr>
      </w:r>
    </w:p>
    <w:p w:rsidR="00000000" w:rsidDel="00000000" w:rsidP="00000000" w:rsidRDefault="00000000" w:rsidRPr="00000000" w14:paraId="00000026">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Updated publication schemes can be obtained from: </w:t>
      </w:r>
      <w:hyperlink r:id="rId12">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https://kb.dataprotection.education/index.php/best-practice-library/best-practice/freedom-of-information</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27">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4. Audit walk </w:t>
      </w:r>
    </w:p>
    <w:p w:rsidR="00000000" w:rsidDel="00000000" w:rsidP="00000000" w:rsidRDefault="00000000" w:rsidRPr="00000000" w14:paraId="00000028">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As we are unable to visit at present it is worth considering completing your own internal walk. You can check against previous report findings to identify improvements or areas that still need to be improved. You can also use the best practice guides to support the process: </w:t>
      </w:r>
      <w:hyperlink r:id="rId13">
        <w:r w:rsidDel="00000000" w:rsidR="00000000" w:rsidRPr="00000000">
          <w:rPr>
            <w:rFonts w:ascii="Calibri" w:cs="Calibri" w:eastAsia="Calibri" w:hAnsi="Calibri"/>
            <w:color w:val="1155cc"/>
            <w:sz w:val="24"/>
            <w:szCs w:val="24"/>
            <w:u w:val="single"/>
            <w:rtl w:val="0"/>
          </w:rPr>
          <w:t xml:space="preserve">https://kb.dataprotection.education/best-practice-library/documents/drip-feeds/57-dpe-quick-reference-guid</w:t>
        </w:r>
      </w:hyperlink>
      <w:r w:rsidDel="00000000" w:rsidR="00000000" w:rsidRPr="00000000">
        <w:rPr>
          <w:rtl w:val="0"/>
        </w:rPr>
      </w:r>
    </w:p>
    <w:p w:rsidR="00000000" w:rsidDel="00000000" w:rsidP="00000000" w:rsidRDefault="00000000" w:rsidRPr="00000000" w14:paraId="00000029">
      <w:pPr>
        <w:spacing w:after="12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DPE will also be providing a live online audit walk that will be available shortly (demonstrated during the consultation).</w:t>
      </w:r>
    </w:p>
    <w:p w:rsidR="00000000" w:rsidDel="00000000" w:rsidP="00000000" w:rsidRDefault="00000000" w:rsidRPr="00000000" w14:paraId="0000002A">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5. Record of Processing (RoP)</w:t>
      </w:r>
    </w:p>
    <w:p w:rsidR="00000000" w:rsidDel="00000000" w:rsidP="00000000" w:rsidRDefault="00000000" w:rsidRPr="00000000" w14:paraId="0000002B">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The ROP will start to be used for your record of processing. DPEs methodology for rolling out the RoP can be found here: </w:t>
      </w:r>
      <w:hyperlink r:id="rId14">
        <w:r w:rsidDel="00000000" w:rsidR="00000000" w:rsidRPr="00000000">
          <w:rPr>
            <w:rFonts w:ascii="Calibri" w:cs="Calibri" w:eastAsia="Calibri" w:hAnsi="Calibri"/>
            <w:color w:val="1155cc"/>
            <w:sz w:val="24"/>
            <w:szCs w:val="24"/>
            <w:u w:val="single"/>
            <w:rtl w:val="0"/>
          </w:rPr>
          <w:t xml:space="preserve">https://kb.dataprotection.education/news-top/news/94-siteupdates/175-record-of-processing-rop-supporting-information</w:t>
        </w:r>
      </w:hyperlink>
      <w:r w:rsidDel="00000000" w:rsidR="00000000" w:rsidRPr="00000000">
        <w:rPr>
          <w:rFonts w:ascii="Calibri" w:cs="Calibri" w:eastAsia="Calibri" w:hAnsi="Calibri"/>
          <w:color w:val="595959"/>
          <w:sz w:val="24"/>
          <w:szCs w:val="24"/>
          <w:rtl w:val="0"/>
        </w:rPr>
        <w:t xml:space="preserve">  The RoP can be used for risk assessments (DPIAs), especially where new technologies are being introduced. Always email: dpo@dataprotection.education for support if needed.  </w:t>
      </w:r>
    </w:p>
    <w:p w:rsidR="00000000" w:rsidDel="00000000" w:rsidP="00000000" w:rsidRDefault="00000000" w:rsidRPr="00000000" w14:paraId="0000002C">
      <w:pPr>
        <w:spacing w:after="120" w:lineRule="auto"/>
        <w:rPr>
          <w:rFonts w:ascii="Calibri" w:cs="Calibri" w:eastAsia="Calibri" w:hAnsi="Calibri"/>
          <w:b w:val="1"/>
          <w:color w:val="595959"/>
          <w:sz w:val="24"/>
          <w:szCs w:val="24"/>
        </w:rPr>
      </w:pPr>
      <w:r w:rsidDel="00000000" w:rsidR="00000000" w:rsidRPr="00000000">
        <w:rPr>
          <w:rFonts w:ascii="Calibri" w:cs="Calibri" w:eastAsia="Calibri" w:hAnsi="Calibri"/>
          <w:b w:val="1"/>
          <w:color w:val="595959"/>
          <w:sz w:val="24"/>
          <w:szCs w:val="24"/>
          <w:rtl w:val="0"/>
        </w:rPr>
        <w:t xml:space="preserve">Next steps:</w:t>
      </w:r>
    </w:p>
    <w:p w:rsidR="00000000" w:rsidDel="00000000" w:rsidP="00000000" w:rsidRDefault="00000000" w:rsidRPr="00000000" w14:paraId="0000002D">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We will work with you and demonstrate how the RoP can be adapted to reflect your school’s individual practice. </w:t>
      </w:r>
    </w:p>
    <w:p w:rsidR="00000000" w:rsidDel="00000000" w:rsidP="00000000" w:rsidRDefault="00000000" w:rsidRPr="00000000" w14:paraId="0000002E">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Step 1</w:t>
      </w:r>
      <w:r w:rsidDel="00000000" w:rsidR="00000000" w:rsidRPr="00000000">
        <w:rPr>
          <w:rFonts w:ascii="Calibri" w:cs="Calibri" w:eastAsia="Calibri" w:hAnsi="Calibri"/>
          <w:color w:val="595959"/>
          <w:sz w:val="24"/>
          <w:szCs w:val="24"/>
          <w:rtl w:val="0"/>
        </w:rPr>
        <w:t xml:space="preserve"> - a general introduction to the RoP tool with a brief overview of the generic process relating to financial/management of the school. </w:t>
      </w:r>
    </w:p>
    <w:p w:rsidR="00000000" w:rsidDel="00000000" w:rsidP="00000000" w:rsidRDefault="00000000" w:rsidRPr="00000000" w14:paraId="0000002F">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Step 2</w:t>
      </w:r>
      <w:r w:rsidDel="00000000" w:rsidR="00000000" w:rsidRPr="00000000">
        <w:rPr>
          <w:rFonts w:ascii="Calibri" w:cs="Calibri" w:eastAsia="Calibri" w:hAnsi="Calibri"/>
          <w:color w:val="595959"/>
          <w:sz w:val="24"/>
          <w:szCs w:val="24"/>
          <w:rtl w:val="0"/>
        </w:rPr>
        <w:t xml:space="preserve">- a more in depth look at the RoP with key process owners and how completing the master lists will ensure the school reflects the technical measures and procedures it has in place to safeguard personal data.  </w:t>
      </w:r>
    </w:p>
    <w:p w:rsidR="00000000" w:rsidDel="00000000" w:rsidP="00000000" w:rsidRDefault="00000000" w:rsidRPr="00000000" w14:paraId="00000030">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Step 3</w:t>
      </w:r>
      <w:r w:rsidDel="00000000" w:rsidR="00000000" w:rsidRPr="00000000">
        <w:rPr>
          <w:rFonts w:ascii="Calibri" w:cs="Calibri" w:eastAsia="Calibri" w:hAnsi="Calibri"/>
          <w:color w:val="595959"/>
          <w:sz w:val="24"/>
          <w:szCs w:val="24"/>
          <w:rtl w:val="0"/>
        </w:rPr>
        <w:t xml:space="preserve"> – online workshops and group sessions to support schools with further individual sessions as needed.</w:t>
      </w:r>
    </w:p>
    <w:p w:rsidR="00000000" w:rsidDel="00000000" w:rsidP="00000000" w:rsidRDefault="00000000" w:rsidRPr="00000000" w14:paraId="00000031">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Note: a number of reporting functions i.e. risk reports will shortly be available. </w:t>
      </w:r>
    </w:p>
    <w:p w:rsidR="00000000" w:rsidDel="00000000" w:rsidP="00000000" w:rsidRDefault="00000000" w:rsidRPr="00000000" w14:paraId="00000032">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0591b4"/>
          <w:sz w:val="32"/>
          <w:szCs w:val="32"/>
          <w:rtl w:val="0"/>
        </w:rPr>
        <w:t xml:space="preserve">6. Compliance checklist and governance   </w:t>
      </w:r>
      <w:r w:rsidDel="00000000" w:rsidR="00000000" w:rsidRPr="00000000">
        <w:rPr>
          <w:rtl w:val="0"/>
        </w:rPr>
      </w:r>
    </w:p>
    <w:p w:rsidR="00000000" w:rsidDel="00000000" w:rsidP="00000000" w:rsidRDefault="00000000" w:rsidRPr="00000000" w14:paraId="00000033">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A reminder that the </w:t>
      </w:r>
      <w:r w:rsidDel="00000000" w:rsidR="00000000" w:rsidRPr="00000000">
        <w:rPr>
          <w:rFonts w:ascii="Calibri" w:cs="Calibri" w:eastAsia="Calibri" w:hAnsi="Calibri"/>
          <w:b w:val="1"/>
          <w:color w:val="595959"/>
          <w:sz w:val="24"/>
          <w:szCs w:val="24"/>
          <w:rtl w:val="0"/>
        </w:rPr>
        <w:t xml:space="preserve">compliance checklist </w:t>
      </w:r>
      <w:r w:rsidDel="00000000" w:rsidR="00000000" w:rsidRPr="00000000">
        <w:rPr>
          <w:rFonts w:ascii="Calibri" w:cs="Calibri" w:eastAsia="Calibri" w:hAnsi="Calibri"/>
          <w:color w:val="595959"/>
          <w:sz w:val="24"/>
          <w:szCs w:val="24"/>
          <w:rtl w:val="0"/>
        </w:rPr>
        <w:t xml:space="preserve">can be used to support ongoing compliance, supporting consultants during remote sessions and for monitoring with governors. Reports can be printed from the compliance checklist: </w:t>
      </w:r>
      <w:hyperlink r:id="rId15">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https://kb.dataprotection.education/index.php/best-practice-library/best-practice/commitment-to-compliance</w:t>
        </w:r>
      </w:hyperlink>
      <w:r w:rsidDel="00000000" w:rsidR="00000000" w:rsidRPr="00000000">
        <w:rPr>
          <w:rFonts w:ascii="Calibri" w:cs="Calibri" w:eastAsia="Calibri" w:hAnsi="Calibri"/>
          <w:color w:val="595959"/>
          <w:sz w:val="24"/>
          <w:szCs w:val="24"/>
          <w:rtl w:val="0"/>
        </w:rPr>
        <w:t xml:space="preserve"> There are many more checklists that you’ll find useful. </w:t>
      </w:r>
    </w:p>
    <w:p w:rsidR="00000000" w:rsidDel="00000000" w:rsidP="00000000" w:rsidRDefault="00000000" w:rsidRPr="00000000" w14:paraId="00000034">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In addition, the governor best practice and terms of reference can also be used to support compliance if needed: </w:t>
      </w:r>
      <w:hyperlink r:id="rId16">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https://kb.dataprotection.education/index.php/best-practice-library/best-practice/governors-and-data</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35">
      <w:pPr>
        <w:spacing w:after="12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36">
      <w:pPr>
        <w:spacing w:after="12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37">
      <w:pPr>
        <w:spacing w:after="120" w:lineRule="auto"/>
        <w:rPr>
          <w:rFonts w:ascii="Quattrocento Sans" w:cs="Quattrocento Sans" w:eastAsia="Quattrocento Sans" w:hAnsi="Quattrocento Sans"/>
          <w:b w:val="1"/>
          <w:color w:val="595959"/>
          <w:sz w:val="24"/>
          <w:szCs w:val="24"/>
        </w:rPr>
      </w:pPr>
      <w:r w:rsidDel="00000000" w:rsidR="00000000" w:rsidRPr="00000000">
        <w:rPr>
          <w:rtl w:val="0"/>
        </w:rPr>
      </w:r>
    </w:p>
    <w:p w:rsidR="00000000" w:rsidDel="00000000" w:rsidP="00000000" w:rsidRDefault="00000000" w:rsidRPr="00000000" w14:paraId="00000038">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39">
      <w:pPr>
        <w:spacing w:after="12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sz w:val="22"/>
          <w:szCs w:val="22"/>
        </w:rPr>
      </w:pPr>
      <w:r w:rsidDel="00000000" w:rsidR="00000000" w:rsidRPr="00000000">
        <w:rPr>
          <w:rtl w:val="0"/>
        </w:rPr>
      </w:r>
    </w:p>
    <w:sectPr>
      <w:headerReference r:id="rId1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rPr/>
    </w:pPr>
    <w:r w:rsidDel="00000000" w:rsidR="00000000" w:rsidRPr="00000000">
      <w:rPr/>
      <w:drawing>
        <wp:inline distB="0" distT="0" distL="114300" distR="114300">
          <wp:extent cx="2552700" cy="6858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link w:val="ListParagraphChar"/>
    <w:uiPriority w:val="34"/>
    <w:qFormat w:val="1"/>
    <w:rsid w:val="009119EA"/>
    <w:pPr>
      <w:ind w:left="720"/>
      <w:contextualSpacing w:val="1"/>
    </w:pPr>
    <w:rPr>
      <w:rFonts w:ascii="Calibri" w:cs="Calibri" w:eastAsia="Calibri" w:hAnsi="Calibri"/>
      <w:sz w:val="24"/>
      <w:szCs w:val="24"/>
      <w:lang w:val="en-GB"/>
    </w:rPr>
  </w:style>
  <w:style w:type="character" w:styleId="ListParagraphChar" w:customStyle="1">
    <w:name w:val="List Paragraph Char"/>
    <w:link w:val="ListParagraph"/>
    <w:uiPriority w:val="34"/>
    <w:rsid w:val="009119EA"/>
    <w:rPr>
      <w:rFonts w:ascii="Calibri" w:cs="Calibri" w:eastAsia="Calibri" w:hAnsi="Calibri"/>
      <w:sz w:val="24"/>
      <w:szCs w:val="24"/>
      <w:lang w:val="en-GB"/>
    </w:rPr>
  </w:style>
  <w:style w:type="paragraph" w:styleId="NormalWeb">
    <w:name w:val="Normal (Web)"/>
    <w:basedOn w:val="Normal"/>
    <w:uiPriority w:val="99"/>
    <w:unhideWhenUsed w:val="1"/>
    <w:rsid w:val="009119EA"/>
    <w:pPr>
      <w:spacing w:after="100" w:afterAutospacing="1" w:before="100" w:beforeAutospacing="1"/>
    </w:pPr>
    <w:rPr>
      <w:rFonts w:ascii="Times New Roman" w:cs="Times New Roman" w:eastAsia="Times New Roman" w:hAnsi="Times New Roman"/>
      <w:sz w:val="24"/>
      <w:szCs w:val="24"/>
      <w:lang w:val="en-GB"/>
    </w:rPr>
  </w:style>
  <w:style w:type="character" w:styleId="Hyperlink">
    <w:name w:val="Hyperlink"/>
    <w:uiPriority w:val="99"/>
    <w:unhideWhenUsed w:val="1"/>
    <w:rsid w:val="009119EA"/>
    <w:rPr>
      <w:color w:val="0563c1"/>
      <w:u w:val="single"/>
    </w:rPr>
  </w:style>
  <w:style w:type="table" w:styleId="TableGrid">
    <w:name w:val="Table Grid"/>
    <w:basedOn w:val="TableNormal"/>
    <w:uiPriority w:val="39"/>
    <w:rsid w:val="009119EA"/>
    <w:rPr>
      <w:rFonts w:asciiTheme="minorHAnsi" w:cstheme="minorBidi" w:eastAsiaTheme="minorHAnsi" w:hAnsiTheme="minorHAnsi"/>
      <w:sz w:val="24"/>
      <w:szCs w:val="24"/>
      <w:lang w:eastAsia="en-US"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9119EA"/>
    <w:rPr>
      <w:rFonts w:ascii="Calibri" w:cs="Calibri" w:eastAsia="Calibri" w:hAnsi="Calibri"/>
      <w:sz w:val="24"/>
      <w:szCs w:val="24"/>
      <w:lang w:val="en-GB"/>
    </w:rPr>
  </w:style>
  <w:style w:type="character" w:styleId="UnresolvedMention">
    <w:name w:val="Unresolved Mention"/>
    <w:basedOn w:val="DefaultParagraphFont"/>
    <w:uiPriority w:val="99"/>
    <w:semiHidden w:val="1"/>
    <w:unhideWhenUsed w:val="1"/>
    <w:rsid w:val="004F450B"/>
    <w:rPr>
      <w:color w:val="605e5c"/>
      <w:shd w:color="auto" w:fill="e1dfdd" w:val="clear"/>
    </w:rPr>
  </w:style>
  <w:style w:type="character" w:styleId="FollowedHyperlink">
    <w:name w:val="FollowedHyperlink"/>
    <w:basedOn w:val="DefaultParagraphFont"/>
    <w:uiPriority w:val="99"/>
    <w:semiHidden w:val="1"/>
    <w:unhideWhenUsed w:val="1"/>
    <w:rsid w:val="004F450B"/>
    <w:rPr>
      <w:color w:val="800080" w:themeColor="followedHyperlink"/>
      <w:u w:val="single"/>
    </w:rPr>
  </w:style>
  <w:style w:type="paragraph" w:styleId="BalloonText">
    <w:name w:val="Balloon Text"/>
    <w:basedOn w:val="Normal"/>
    <w:link w:val="BalloonTextChar"/>
    <w:uiPriority w:val="99"/>
    <w:semiHidden w:val="1"/>
    <w:unhideWhenUsed w:val="1"/>
    <w:rsid w:val="003C7CF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C7CF5"/>
    <w:rPr>
      <w:rFonts w:ascii="Segoe UI" w:cs="Segoe UI" w:hAnsi="Segoe UI"/>
      <w:sz w:val="18"/>
      <w:szCs w:val="18"/>
    </w:rPr>
  </w:style>
  <w:style w:type="paragraph" w:styleId="Header">
    <w:name w:val="header"/>
    <w:basedOn w:val="Normal"/>
    <w:link w:val="HeaderChar"/>
    <w:uiPriority w:val="99"/>
    <w:unhideWhenUsed w:val="1"/>
    <w:rsid w:val="00533070"/>
    <w:pPr>
      <w:tabs>
        <w:tab w:val="center" w:pos="4513"/>
        <w:tab w:val="right" w:pos="9026"/>
      </w:tabs>
    </w:pPr>
  </w:style>
  <w:style w:type="character" w:styleId="HeaderChar" w:customStyle="1">
    <w:name w:val="Header Char"/>
    <w:basedOn w:val="DefaultParagraphFont"/>
    <w:link w:val="Header"/>
    <w:uiPriority w:val="99"/>
    <w:rsid w:val="00533070"/>
  </w:style>
  <w:style w:type="paragraph" w:styleId="Footer">
    <w:name w:val="footer"/>
    <w:basedOn w:val="Normal"/>
    <w:link w:val="FooterChar"/>
    <w:uiPriority w:val="99"/>
    <w:unhideWhenUsed w:val="1"/>
    <w:rsid w:val="00533070"/>
    <w:pPr>
      <w:tabs>
        <w:tab w:val="center" w:pos="4513"/>
        <w:tab w:val="right" w:pos="9026"/>
      </w:tabs>
    </w:pPr>
  </w:style>
  <w:style w:type="character" w:styleId="FooterChar" w:customStyle="1">
    <w:name w:val="Footer Char"/>
    <w:basedOn w:val="DefaultParagraphFont"/>
    <w:link w:val="Footer"/>
    <w:uiPriority w:val="99"/>
    <w:rsid w:val="00533070"/>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ataprotection.education/news-top/news/83-best-practice-updates/182-model-publication-scheme-amendments-improvements-and-updates" TargetMode="External"/><Relationship Id="rId10" Type="http://schemas.openxmlformats.org/officeDocument/2006/relationships/hyperlink" Target="https://dataprotection.education/student-list/users" TargetMode="External"/><Relationship Id="rId13" Type="http://schemas.openxmlformats.org/officeDocument/2006/relationships/hyperlink" Target="https://kb.dataprotection.education/best-practice-library/documents/drip-feeds/57-dpe-quick-reference-guide" TargetMode="External"/><Relationship Id="rId12" Type="http://schemas.openxmlformats.org/officeDocument/2006/relationships/hyperlink" Target="https://kb.dataprotection.education/index.php/best-practice-library/best-practice/freedom-of-inform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protection.education/manager-reports?view=reports" TargetMode="External"/><Relationship Id="rId15" Type="http://schemas.openxmlformats.org/officeDocument/2006/relationships/hyperlink" Target="https://kb.dataprotection.education/index.php/best-practice-library/best-practice/commitment-to-compliance" TargetMode="External"/><Relationship Id="rId14" Type="http://schemas.openxmlformats.org/officeDocument/2006/relationships/hyperlink" Target="https://kb.dataprotection.education/news-top/news/94-siteupdates/175-record-of-processing-rop-supporting-information" TargetMode="External"/><Relationship Id="rId17" Type="http://schemas.openxmlformats.org/officeDocument/2006/relationships/header" Target="header1.xml"/><Relationship Id="rId16" Type="http://schemas.openxmlformats.org/officeDocument/2006/relationships/hyperlink" Target="https://kb.dataprotection.education/index.php/best-practice-library/best-practice/governors-and-dat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ataprotection.education/index.php/best-practice-library/best-practice/commitment-to-compliance" TargetMode="External"/><Relationship Id="rId8" Type="http://schemas.openxmlformats.org/officeDocument/2006/relationships/hyperlink" Target="https://dataprotection.education/index.php/best-practice-library/best-practice/coronavir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WKVBIgklsMBsKz/dDaCcOGGvWg==">AMUW2mV9riwZfSGqIPt5cL2OvEKMC5L2pXJewW0CJpr3xGkS6hcHRZoT4dE/XeQo+OsjeL+qb+Eb00n9rwPGpj5akZI3G3reUPXQ2OWberOX/ptf1MWFZME=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2021-01-25T18:32:00Z</dcterms:created>
  <dc:creator>Stuart Lee</dc:creator>
</cp:coreProperties>
</file>