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rFonts w:ascii="Calibri" w:cs="Calibri" w:eastAsia="Calibri" w:hAnsi="Calibri"/>
          <w:sz w:val="32"/>
          <w:szCs w:val="32"/>
        </w:rPr>
      </w:pPr>
      <w:r w:rsidDel="00000000" w:rsidR="00000000" w:rsidRPr="00000000">
        <w:rPr>
          <w:rFonts w:ascii="Calibri" w:cs="Calibri" w:eastAsia="Calibri" w:hAnsi="Calibri"/>
          <w:b w:val="1"/>
          <w:color w:val="0591b4"/>
          <w:sz w:val="32"/>
          <w:szCs w:val="32"/>
          <w:rtl w:val="0"/>
        </w:rPr>
        <w:t xml:space="preserve">Rackheath</w:t>
      </w:r>
      <w:r w:rsidDel="00000000" w:rsidR="00000000" w:rsidRPr="00000000">
        <w:rPr>
          <w:rFonts w:ascii="Calibri" w:cs="Calibri" w:eastAsia="Calibri" w:hAnsi="Calibri"/>
          <w:b w:val="1"/>
          <w:color w:val="0591b4"/>
          <w:sz w:val="32"/>
          <w:szCs w:val="32"/>
          <w:rtl w:val="0"/>
        </w:rPr>
        <w:t xml:space="preserve"> Remote Consultation                    Audit Date: </w:t>
      </w:r>
      <w:r w:rsidDel="00000000" w:rsidR="00000000" w:rsidRPr="00000000">
        <w:rPr>
          <w:rFonts w:ascii="Calibri" w:cs="Calibri" w:eastAsia="Calibri" w:hAnsi="Calibri"/>
          <w:color w:val="0591b4"/>
          <w:sz w:val="32"/>
          <w:szCs w:val="32"/>
          <w:rtl w:val="0"/>
        </w:rPr>
        <w:t xml:space="preserve">10/02/21</w:t>
      </w:r>
      <w:r w:rsidDel="00000000" w:rsidR="00000000" w:rsidRPr="00000000">
        <w:rPr>
          <w:rtl w:val="0"/>
        </w:rPr>
      </w:r>
    </w:p>
    <w:p w:rsidR="00000000" w:rsidDel="00000000" w:rsidP="00000000" w:rsidRDefault="00000000" w:rsidRPr="00000000" w14:paraId="00000002">
      <w:pPr>
        <w:jc w:val="both"/>
        <w:rPr>
          <w:rFonts w:ascii="Calibri" w:cs="Calibri" w:eastAsia="Calibri" w:hAnsi="Calibri"/>
          <w:b w:val="1"/>
          <w:sz w:val="32"/>
          <w:szCs w:val="32"/>
        </w:rPr>
      </w:pPr>
      <w:r w:rsidDel="00000000" w:rsidR="00000000" w:rsidRPr="00000000">
        <w:rPr>
          <w:rFonts w:ascii="Calibri" w:cs="Calibri" w:eastAsia="Calibri" w:hAnsi="Calibri"/>
          <w:b w:val="1"/>
          <w:color w:val="0591b4"/>
          <w:sz w:val="32"/>
          <w:szCs w:val="32"/>
          <w:rtl w:val="0"/>
        </w:rPr>
        <w:t xml:space="preserve">Report type: GDPR review </w:t>
      </w:r>
      <w:r w:rsidDel="00000000" w:rsidR="00000000" w:rsidRPr="00000000">
        <w:rPr>
          <w:rtl w:val="0"/>
        </w:rPr>
      </w:r>
    </w:p>
    <w:p w:rsidR="00000000" w:rsidDel="00000000" w:rsidP="00000000" w:rsidRDefault="00000000" w:rsidRPr="00000000" w14:paraId="00000003">
      <w:pPr>
        <w:jc w:val="both"/>
        <w:rPr>
          <w:rFonts w:ascii="Calibri" w:cs="Calibri" w:eastAsia="Calibri" w:hAnsi="Calibri"/>
          <w:color w:val="0591b4"/>
          <w:sz w:val="32"/>
          <w:szCs w:val="32"/>
        </w:rPr>
      </w:pPr>
      <w:r w:rsidDel="00000000" w:rsidR="00000000" w:rsidRPr="00000000">
        <w:rPr>
          <w:rFonts w:ascii="Calibri" w:cs="Calibri" w:eastAsia="Calibri" w:hAnsi="Calibri"/>
          <w:b w:val="1"/>
          <w:color w:val="0591b4"/>
          <w:sz w:val="32"/>
          <w:szCs w:val="32"/>
          <w:rtl w:val="0"/>
        </w:rPr>
        <w:t xml:space="preserve">DPE:</w:t>
      </w:r>
      <w:r w:rsidDel="00000000" w:rsidR="00000000" w:rsidRPr="00000000">
        <w:rPr>
          <w:rFonts w:ascii="Calibri" w:cs="Calibri" w:eastAsia="Calibri" w:hAnsi="Calibri"/>
          <w:color w:val="0591b4"/>
          <w:sz w:val="32"/>
          <w:szCs w:val="32"/>
          <w:rtl w:val="0"/>
        </w:rPr>
        <w:t xml:space="preserve"> Stuart Lee </w:t>
      </w:r>
    </w:p>
    <w:p w:rsidR="00000000" w:rsidDel="00000000" w:rsidP="00000000" w:rsidRDefault="00000000" w:rsidRPr="00000000" w14:paraId="00000004">
      <w:pPr>
        <w:rPr>
          <w:sz w:val="22"/>
          <w:szCs w:val="22"/>
        </w:rPr>
      </w:pPr>
      <w:r w:rsidDel="00000000" w:rsidR="00000000" w:rsidRPr="00000000">
        <w:rPr>
          <w:rFonts w:ascii="Calibri" w:cs="Calibri" w:eastAsia="Calibri" w:hAnsi="Calibri"/>
          <w:b w:val="1"/>
          <w:color w:val="0591b4"/>
          <w:sz w:val="32"/>
          <w:szCs w:val="32"/>
          <w:rtl w:val="0"/>
        </w:rPr>
        <w:t xml:space="preserve">School member: </w:t>
      </w:r>
      <w:r w:rsidDel="00000000" w:rsidR="00000000" w:rsidRPr="00000000">
        <w:rPr>
          <w:rFonts w:ascii="Calibri" w:cs="Calibri" w:eastAsia="Calibri" w:hAnsi="Calibri"/>
          <w:color w:val="0591b4"/>
          <w:sz w:val="32"/>
          <w:szCs w:val="32"/>
          <w:rtl w:val="0"/>
        </w:rPr>
        <w:t xml:space="preserve">Chris Ashman</w:t>
      </w:r>
      <w:r w:rsidDel="00000000" w:rsidR="00000000" w:rsidRPr="00000000">
        <w:rPr>
          <w:rtl w:val="0"/>
        </w:rPr>
      </w:r>
    </w:p>
    <w:p w:rsidR="00000000" w:rsidDel="00000000" w:rsidP="00000000" w:rsidRDefault="00000000" w:rsidRPr="00000000" w14:paraId="00000005">
      <w:pPr>
        <w:shd w:fill="9cc5db" w:val="clear"/>
        <w:jc w:val="both"/>
        <w:rPr>
          <w:rFonts w:ascii="Calibri" w:cs="Calibri" w:eastAsia="Calibri" w:hAnsi="Calibri"/>
        </w:rPr>
      </w:pPr>
      <w:r w:rsidDel="00000000" w:rsidR="00000000" w:rsidRPr="00000000">
        <w:rPr>
          <w:rFonts w:ascii="Calibri" w:cs="Calibri" w:eastAsia="Calibri" w:hAnsi="Calibri"/>
          <w:color w:val="9cc5db"/>
          <w:sz w:val="2"/>
          <w:szCs w:val="2"/>
          <w:rtl w:val="0"/>
        </w:rPr>
        <w:t xml:space="preserve">_</w:t>
      </w:r>
      <w:r w:rsidDel="00000000" w:rsidR="00000000" w:rsidRPr="00000000">
        <w:rPr>
          <w:rtl w:val="0"/>
        </w:rPr>
      </w:r>
    </w:p>
    <w:p w:rsidR="00000000" w:rsidDel="00000000" w:rsidP="00000000" w:rsidRDefault="00000000" w:rsidRPr="00000000" w14:paraId="00000006">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07">
      <w:pPr>
        <w:jc w:val="both"/>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Consultation details</w:t>
      </w:r>
    </w:p>
    <w:p w:rsidR="00000000" w:rsidDel="00000000" w:rsidP="00000000" w:rsidRDefault="00000000" w:rsidRPr="00000000" w14:paraId="00000008">
      <w:pPr>
        <w:jc w:val="both"/>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09">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Website updates including best practice areas and updates to existing policies/documentation</w:t>
      </w:r>
      <w:r w:rsidDel="00000000" w:rsidR="00000000" w:rsidRPr="00000000">
        <w:rPr>
          <w:rtl w:val="0"/>
        </w:rPr>
      </w:r>
    </w:p>
    <w:p w:rsidR="00000000" w:rsidDel="00000000" w:rsidP="00000000" w:rsidRDefault="00000000" w:rsidRPr="00000000" w14:paraId="0000000A">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Review of training i.e. GDPR refresher and work away from school</w:t>
      </w:r>
      <w:r w:rsidDel="00000000" w:rsidR="00000000" w:rsidRPr="00000000">
        <w:rPr>
          <w:rtl w:val="0"/>
        </w:rPr>
      </w:r>
    </w:p>
    <w:p w:rsidR="00000000" w:rsidDel="00000000" w:rsidP="00000000" w:rsidRDefault="00000000" w:rsidRPr="00000000" w14:paraId="0000000B">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Internal audit templates</w:t>
      </w:r>
      <w:r w:rsidDel="00000000" w:rsidR="00000000" w:rsidRPr="00000000">
        <w:rPr>
          <w:rtl w:val="0"/>
        </w:rPr>
      </w:r>
    </w:p>
    <w:p w:rsidR="00000000" w:rsidDel="00000000" w:rsidP="00000000" w:rsidRDefault="00000000" w:rsidRPr="00000000" w14:paraId="0000000C">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Record of processing (RoP) - a demonstration of the RoP tool</w:t>
      </w:r>
      <w:r w:rsidDel="00000000" w:rsidR="00000000" w:rsidRPr="00000000">
        <w:rPr>
          <w:rtl w:val="0"/>
        </w:rPr>
      </w:r>
    </w:p>
    <w:p w:rsidR="00000000" w:rsidDel="00000000" w:rsidP="00000000" w:rsidRDefault="00000000" w:rsidRPr="00000000" w14:paraId="0000000D">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Q and As</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Another session with an RoP focus was arranged for 25 March to include admin staff: Claire and Michelle.</w:t>
      </w:r>
    </w:p>
    <w:p w:rsidR="00000000" w:rsidDel="00000000" w:rsidP="00000000" w:rsidRDefault="00000000" w:rsidRPr="00000000" w14:paraId="0000000F">
      <w:pPr>
        <w:jc w:val="both"/>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Priorities/action points from the consultation are detailed below:</w:t>
      </w:r>
    </w:p>
    <w:p w:rsidR="00000000" w:rsidDel="00000000" w:rsidP="00000000" w:rsidRDefault="00000000" w:rsidRPr="00000000" w14:paraId="00000011">
      <w:pPr>
        <w:numPr>
          <w:ilvl w:val="0"/>
          <w:numId w:val="1"/>
        </w:numPr>
        <w:ind w:left="72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Update the GDPR Policy and Privacy Notices</w:t>
      </w:r>
      <w:r w:rsidDel="00000000" w:rsidR="00000000" w:rsidRPr="00000000">
        <w:rPr>
          <w:rFonts w:ascii="Calibri" w:cs="Calibri" w:eastAsia="Calibri" w:hAnsi="Calibri"/>
          <w:sz w:val="24"/>
          <w:szCs w:val="24"/>
          <w:rtl w:val="0"/>
        </w:rPr>
        <w:t xml:space="preserve">. There are now separate Privacy Notices for: Workforce, General and Students and there is now a child friendly notice. Ideally you will now update your documentation to the latest versions as there have been several revisions. Chris confirmed he will update to the latest documentation.  </w:t>
      </w:r>
      <w:r w:rsidDel="00000000" w:rsidR="00000000" w:rsidRPr="00000000">
        <w:rPr>
          <w:rtl w:val="0"/>
        </w:rPr>
      </w:r>
    </w:p>
    <w:p w:rsidR="00000000" w:rsidDel="00000000" w:rsidP="00000000" w:rsidRDefault="00000000" w:rsidRPr="00000000" w14:paraId="00000012">
      <w:pPr>
        <w:numPr>
          <w:ilvl w:val="0"/>
          <w:numId w:val="1"/>
        </w:numPr>
        <w:ind w:left="72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Training:</w:t>
      </w:r>
    </w:p>
    <w:p w:rsidR="00000000" w:rsidDel="00000000" w:rsidP="00000000" w:rsidRDefault="00000000" w:rsidRPr="00000000" w14:paraId="00000013">
      <w:pPr>
        <w:numPr>
          <w:ilvl w:val="0"/>
          <w:numId w:val="3"/>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Set staff up to complete GDPR e-learning training and staff to complete the initial training</w:t>
      </w:r>
    </w:p>
    <w:p w:rsidR="00000000" w:rsidDel="00000000" w:rsidP="00000000" w:rsidRDefault="00000000" w:rsidRPr="00000000" w14:paraId="00000014">
      <w:pPr>
        <w:numPr>
          <w:ilvl w:val="0"/>
          <w:numId w:val="3"/>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Chris will identify any additional training modules that can be completed; stay safe online; work away from school and data breaches etc</w:t>
      </w:r>
    </w:p>
    <w:p w:rsidR="00000000" w:rsidDel="00000000" w:rsidP="00000000" w:rsidRDefault="00000000" w:rsidRPr="00000000" w14:paraId="00000015">
      <w:pPr>
        <w:numPr>
          <w:ilvl w:val="0"/>
          <w:numId w:val="1"/>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sz w:val="24"/>
          <w:szCs w:val="24"/>
          <w:rtl w:val="0"/>
        </w:rPr>
        <w:t xml:space="preserve">Compliance action best practice area/checklist and governor best practice area</w:t>
      </w:r>
      <w:r w:rsidDel="00000000" w:rsidR="00000000" w:rsidRPr="00000000">
        <w:rPr>
          <w:rFonts w:ascii="Calibri" w:cs="Calibri" w:eastAsia="Calibri" w:hAnsi="Calibri"/>
          <w:sz w:val="24"/>
          <w:szCs w:val="24"/>
          <w:rtl w:val="0"/>
        </w:rPr>
        <w:t xml:space="preserve">: The compliance best practice area/checklist can be used to manage progress, print off reports for Trustees/Governors and support consultants during visits/remote consultations. This best practice area can also be used to check other compliance documents i.e. data breach and SAR procedure</w:t>
      </w:r>
    </w:p>
    <w:p w:rsidR="00000000" w:rsidDel="00000000" w:rsidP="00000000" w:rsidRDefault="00000000" w:rsidRPr="00000000" w14:paraId="00000016">
      <w:pPr>
        <w:numPr>
          <w:ilvl w:val="0"/>
          <w:numId w:val="1"/>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Work away from school: </w:t>
      </w:r>
      <w:r w:rsidDel="00000000" w:rsidR="00000000" w:rsidRPr="00000000">
        <w:rPr>
          <w:rFonts w:ascii="Calibri" w:cs="Calibri" w:eastAsia="Calibri" w:hAnsi="Calibri"/>
          <w:sz w:val="24"/>
          <w:szCs w:val="24"/>
          <w:rtl w:val="0"/>
        </w:rPr>
        <w:t xml:space="preserve">If you have not got a Work Away From School Policy you should consider adopting DPEs. Ideally  staff will also complete work away from school and NCSC training</w:t>
      </w:r>
    </w:p>
    <w:p w:rsidR="00000000" w:rsidDel="00000000" w:rsidP="00000000" w:rsidRDefault="00000000" w:rsidRPr="00000000" w14:paraId="00000017">
      <w:pPr>
        <w:numPr>
          <w:ilvl w:val="0"/>
          <w:numId w:val="1"/>
        </w:numPr>
        <w:ind w:left="72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Publication scheme: </w:t>
      </w:r>
      <w:r w:rsidDel="00000000" w:rsidR="00000000" w:rsidRPr="00000000">
        <w:rPr>
          <w:rFonts w:ascii="Calibri" w:cs="Calibri" w:eastAsia="Calibri" w:hAnsi="Calibri"/>
          <w:sz w:val="24"/>
          <w:szCs w:val="24"/>
          <w:rtl w:val="0"/>
        </w:rPr>
        <w:t xml:space="preserve">The school has the option of adopting DPEs model publication scheme (please refer to section 3).</w:t>
      </w:r>
    </w:p>
    <w:p w:rsidR="00000000" w:rsidDel="00000000" w:rsidP="00000000" w:rsidRDefault="00000000" w:rsidRPr="00000000" w14:paraId="00000018">
      <w:pPr>
        <w:numPr>
          <w:ilvl w:val="0"/>
          <w:numId w:val="1"/>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Internal audit walks: </w:t>
      </w:r>
      <w:r w:rsidDel="00000000" w:rsidR="00000000" w:rsidRPr="00000000">
        <w:rPr>
          <w:rFonts w:ascii="Calibri" w:cs="Calibri" w:eastAsia="Calibri" w:hAnsi="Calibri"/>
          <w:sz w:val="24"/>
          <w:szCs w:val="24"/>
          <w:rtl w:val="0"/>
        </w:rPr>
        <w:t xml:space="preserve">demonstrated the online walk during the consultation. Suggested the school could also complete their own end of day walk and report findings back to staff (raising awareness)</w:t>
      </w:r>
    </w:p>
    <w:p w:rsidR="00000000" w:rsidDel="00000000" w:rsidP="00000000" w:rsidRDefault="00000000" w:rsidRPr="00000000" w14:paraId="00000019">
      <w:pPr>
        <w:numPr>
          <w:ilvl w:val="0"/>
          <w:numId w:val="1"/>
        </w:numPr>
        <w:ind w:left="72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Record of Processing (RoP): </w:t>
      </w:r>
      <w:r w:rsidDel="00000000" w:rsidR="00000000" w:rsidRPr="00000000">
        <w:rPr>
          <w:rFonts w:ascii="Calibri" w:cs="Calibri" w:eastAsia="Calibri" w:hAnsi="Calibri"/>
          <w:sz w:val="24"/>
          <w:szCs w:val="24"/>
          <w:rtl w:val="0"/>
        </w:rPr>
        <w:t xml:space="preserve">Demonstration completed during the visit. Follow up session arranged with admin staff for March. </w:t>
      </w:r>
    </w:p>
    <w:p w:rsidR="00000000" w:rsidDel="00000000" w:rsidP="00000000" w:rsidRDefault="00000000" w:rsidRPr="00000000" w14:paraId="0000001A">
      <w:pPr>
        <w:numPr>
          <w:ilvl w:val="0"/>
          <w:numId w:val="1"/>
        </w:numPr>
        <w:ind w:left="720" w:hanging="360"/>
        <w:jc w:val="both"/>
        <w:rPr>
          <w:rFonts w:ascii="Calibri" w:cs="Calibri" w:eastAsia="Calibri" w:hAnsi="Calibri"/>
          <w:b w:val="1"/>
          <w:sz w:val="24"/>
          <w:szCs w:val="24"/>
          <w:u w:val="none"/>
        </w:rPr>
      </w:pPr>
      <w:r w:rsidDel="00000000" w:rsidR="00000000" w:rsidRPr="00000000">
        <w:rPr>
          <w:rFonts w:ascii="Calibri" w:cs="Calibri" w:eastAsia="Calibri" w:hAnsi="Calibri"/>
          <w:b w:val="1"/>
          <w:sz w:val="24"/>
          <w:szCs w:val="24"/>
          <w:rtl w:val="0"/>
        </w:rPr>
        <w:t xml:space="preserve">Compliance Manager tool: </w:t>
      </w:r>
      <w:r w:rsidDel="00000000" w:rsidR="00000000" w:rsidRPr="00000000">
        <w:rPr>
          <w:rFonts w:ascii="Calibri" w:cs="Calibri" w:eastAsia="Calibri" w:hAnsi="Calibri"/>
          <w:sz w:val="24"/>
          <w:szCs w:val="24"/>
          <w:rtl w:val="0"/>
        </w:rPr>
        <w:t xml:space="preserve">Discussed how the Compliance Manager tool can be used to manage documents and who has and has not read school policy documentation i.e. Safeguarding and data protection. The training guide is available directly from: Dashboard&gt; Compliance Manager.</w:t>
      </w:r>
    </w:p>
    <w:p w:rsidR="00000000" w:rsidDel="00000000" w:rsidP="00000000" w:rsidRDefault="00000000" w:rsidRPr="00000000" w14:paraId="0000001B">
      <w:pPr>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Links and additional guidance in order of priority actions are detailed below:</w:t>
      </w:r>
    </w:p>
    <w:p w:rsidR="00000000" w:rsidDel="00000000" w:rsidP="00000000" w:rsidRDefault="00000000" w:rsidRPr="00000000" w14:paraId="0000001C">
      <w:pPr>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1D">
      <w:pPr>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1. GDPR policy update and Privacy notice updates</w:t>
      </w:r>
    </w:p>
    <w:p w:rsidR="00000000" w:rsidDel="00000000" w:rsidP="00000000" w:rsidRDefault="00000000" w:rsidRPr="00000000" w14:paraId="0000001E">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The latest GDPR policy and Privacy Notices can be located from the compliance best practice area: </w:t>
      </w:r>
      <w:hyperlink r:id="rId7">
        <w:r w:rsidDel="00000000" w:rsidR="00000000" w:rsidRPr="00000000">
          <w:rPr>
            <w:rFonts w:ascii="Calibri" w:cs="Calibri" w:eastAsia="Calibri" w:hAnsi="Calibri"/>
            <w:color w:val="0563c1"/>
            <w:sz w:val="24"/>
            <w:szCs w:val="24"/>
            <w:u w:val="single"/>
            <w:rtl w:val="0"/>
          </w:rPr>
          <w:t xml:space="preserve">https://dataprotection.education/index.php/best-practice-library/best-practice/commitment-to-compliance</w:t>
        </w:r>
      </w:hyperlink>
      <w:r w:rsidDel="00000000" w:rsidR="00000000" w:rsidRPr="00000000">
        <w:rPr>
          <w:rFonts w:ascii="Calibri" w:cs="Calibri" w:eastAsia="Calibri" w:hAnsi="Calibri"/>
          <w:color w:val="595959"/>
          <w:sz w:val="24"/>
          <w:szCs w:val="24"/>
          <w:rtl w:val="0"/>
        </w:rPr>
        <w:t xml:space="preserve"> </w:t>
      </w:r>
    </w:p>
    <w:p w:rsidR="00000000" w:rsidDel="00000000" w:rsidP="00000000" w:rsidRDefault="00000000" w:rsidRPr="00000000" w14:paraId="0000001F">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Regardless of adopting the very latest documents your current privacy notice and policy should now include sections for COVID-19  - refer to the July 17 update: </w:t>
      </w:r>
      <w:hyperlink r:id="rId8">
        <w:r w:rsidDel="00000000" w:rsidR="00000000" w:rsidRPr="00000000">
          <w:rPr>
            <w:rFonts w:ascii="Calibri" w:cs="Calibri" w:eastAsia="Calibri" w:hAnsi="Calibri"/>
            <w:color w:val="1155cc"/>
            <w:sz w:val="24"/>
            <w:szCs w:val="24"/>
            <w:u w:val="single"/>
            <w:rtl w:val="0"/>
          </w:rPr>
          <w:t xml:space="preserve">https://dataprotection.education/index.php/best-practice-library/best-practice/coronavirus</w:t>
        </w:r>
      </w:hyperlink>
      <w:r w:rsidDel="00000000" w:rsidR="00000000" w:rsidRPr="00000000">
        <w:rPr>
          <w:rFonts w:ascii="Calibri" w:cs="Calibri" w:eastAsia="Calibri" w:hAnsi="Calibri"/>
          <w:color w:val="595959"/>
          <w:sz w:val="24"/>
          <w:szCs w:val="24"/>
          <w:rtl w:val="0"/>
        </w:rPr>
        <w:t xml:space="preserve"> </w:t>
      </w:r>
    </w:p>
    <w:p w:rsidR="00000000" w:rsidDel="00000000" w:rsidP="00000000" w:rsidRDefault="00000000" w:rsidRPr="00000000" w14:paraId="00000020">
      <w:pPr>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2. Setting staff up for e-learning training and mini training guides</w:t>
      </w:r>
    </w:p>
    <w:p w:rsidR="00000000" w:rsidDel="00000000" w:rsidP="00000000" w:rsidRDefault="00000000" w:rsidRPr="00000000" w14:paraId="00000021">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You should now be reviewing training i.e. GDPR refresher, data breaches and work away from school. You can check which staff have or have not completed the various modules by selecting the reports from your dashboard:  </w:t>
      </w:r>
      <w:hyperlink r:id="rId9">
        <w:r w:rsidDel="00000000" w:rsidR="00000000" w:rsidRPr="00000000">
          <w:rPr>
            <w:rFonts w:ascii="Calibri" w:cs="Calibri" w:eastAsia="Calibri" w:hAnsi="Calibri"/>
            <w:color w:val="1155cc"/>
            <w:sz w:val="24"/>
            <w:szCs w:val="24"/>
            <w:u w:val="single"/>
            <w:rtl w:val="0"/>
          </w:rPr>
          <w:t xml:space="preserve">https://dataprotection.education/manager-reports?view=reports</w:t>
        </w:r>
      </w:hyperlink>
      <w:r w:rsidDel="00000000" w:rsidR="00000000" w:rsidRPr="00000000">
        <w:rPr>
          <w:rFonts w:ascii="Calibri" w:cs="Calibri" w:eastAsia="Calibri" w:hAnsi="Calibri"/>
          <w:color w:val="595959"/>
          <w:sz w:val="24"/>
          <w:szCs w:val="24"/>
          <w:rtl w:val="0"/>
        </w:rPr>
        <w:t xml:space="preserve"> </w:t>
      </w:r>
    </w:p>
    <w:p w:rsidR="00000000" w:rsidDel="00000000" w:rsidP="00000000" w:rsidRDefault="00000000" w:rsidRPr="00000000" w14:paraId="00000022">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Users can be set up on the system by adding individually or importing as a group: </w:t>
      </w:r>
      <w:hyperlink r:id="rId10">
        <w:r w:rsidDel="00000000" w:rsidR="00000000" w:rsidRPr="00000000">
          <w:rPr>
            <w:rFonts w:ascii="Calibri" w:cs="Calibri" w:eastAsia="Calibri" w:hAnsi="Calibri"/>
            <w:color w:val="0563c1"/>
            <w:sz w:val="24"/>
            <w:szCs w:val="24"/>
            <w:u w:val="single"/>
            <w:rtl w:val="0"/>
          </w:rPr>
          <w:t xml:space="preserve">https://dataprotection.education/student-list/users</w:t>
        </w:r>
      </w:hyperlink>
      <w:r w:rsidDel="00000000" w:rsidR="00000000" w:rsidRPr="00000000">
        <w:rPr>
          <w:rFonts w:ascii="Calibri" w:cs="Calibri" w:eastAsia="Calibri" w:hAnsi="Calibri"/>
          <w:color w:val="595959"/>
          <w:sz w:val="24"/>
          <w:szCs w:val="24"/>
          <w:rtl w:val="0"/>
        </w:rPr>
        <w:t xml:space="preserve">)  Kalina at DPE (client support) is here to help you and can be contacted for support at: kalina.voyvodova@dataprotection.education  </w:t>
      </w:r>
    </w:p>
    <w:p w:rsidR="00000000" w:rsidDel="00000000" w:rsidP="00000000" w:rsidRDefault="00000000" w:rsidRPr="00000000" w14:paraId="00000023">
      <w:pPr>
        <w:spacing w:after="120" w:lineRule="auto"/>
        <w:rPr>
          <w:rFonts w:ascii="Calibri" w:cs="Calibri" w:eastAsia="Calibri" w:hAnsi="Calibri"/>
          <w:b w:val="1"/>
          <w:color w:val="0591b4"/>
          <w:sz w:val="32"/>
          <w:szCs w:val="32"/>
        </w:rPr>
      </w:pPr>
      <w:r w:rsidDel="00000000" w:rsidR="00000000" w:rsidRPr="00000000">
        <w:rPr>
          <w:rFonts w:ascii="Calibri" w:cs="Calibri" w:eastAsia="Calibri" w:hAnsi="Calibri"/>
          <w:b w:val="1"/>
          <w:color w:val="595959"/>
          <w:sz w:val="24"/>
          <w:szCs w:val="24"/>
          <w:rtl w:val="0"/>
        </w:rPr>
        <w:t xml:space="preserve">All staff should now have completed some form of data protection training.</w:t>
      </w:r>
      <w:r w:rsidDel="00000000" w:rsidR="00000000" w:rsidRPr="00000000">
        <w:rPr>
          <w:rtl w:val="0"/>
        </w:rPr>
      </w:r>
    </w:p>
    <w:p w:rsidR="00000000" w:rsidDel="00000000" w:rsidP="00000000" w:rsidRDefault="00000000" w:rsidRPr="00000000" w14:paraId="00000024">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The dashboard now has mini training videos for many of the main areas, including data breaches and SARS. There is also a data breach and SAR best practice area where all the information is now situated.</w:t>
      </w:r>
    </w:p>
    <w:p w:rsidR="00000000" w:rsidDel="00000000" w:rsidP="00000000" w:rsidRDefault="00000000" w:rsidRPr="00000000" w14:paraId="00000025">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b w:val="1"/>
          <w:color w:val="0591b4"/>
          <w:sz w:val="32"/>
          <w:szCs w:val="32"/>
          <w:rtl w:val="0"/>
        </w:rPr>
        <w:t xml:space="preserve">3. Compliance checklist and governance   </w:t>
      </w:r>
      <w:r w:rsidDel="00000000" w:rsidR="00000000" w:rsidRPr="00000000">
        <w:rPr>
          <w:rtl w:val="0"/>
        </w:rPr>
      </w:r>
    </w:p>
    <w:p w:rsidR="00000000" w:rsidDel="00000000" w:rsidP="00000000" w:rsidRDefault="00000000" w:rsidRPr="00000000" w14:paraId="00000026">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A reminder that the </w:t>
      </w:r>
      <w:r w:rsidDel="00000000" w:rsidR="00000000" w:rsidRPr="00000000">
        <w:rPr>
          <w:rFonts w:ascii="Calibri" w:cs="Calibri" w:eastAsia="Calibri" w:hAnsi="Calibri"/>
          <w:b w:val="1"/>
          <w:color w:val="595959"/>
          <w:sz w:val="24"/>
          <w:szCs w:val="24"/>
          <w:rtl w:val="0"/>
        </w:rPr>
        <w:t xml:space="preserve">compliance checklist </w:t>
      </w:r>
      <w:r w:rsidDel="00000000" w:rsidR="00000000" w:rsidRPr="00000000">
        <w:rPr>
          <w:rFonts w:ascii="Calibri" w:cs="Calibri" w:eastAsia="Calibri" w:hAnsi="Calibri"/>
          <w:color w:val="595959"/>
          <w:sz w:val="24"/>
          <w:szCs w:val="24"/>
          <w:rtl w:val="0"/>
        </w:rPr>
        <w:t xml:space="preserve">can be used to support ongoing compliance, supporting consultants during remote sessions and for monitoring with governors. Reports can be printed from the compliance checklist: </w:t>
      </w:r>
      <w:hyperlink r:id="rId11">
        <w:r w:rsidDel="00000000" w:rsidR="00000000" w:rsidRPr="00000000">
          <w:rPr>
            <w:rFonts w:ascii="Calibri" w:cs="Calibri" w:eastAsia="Calibri" w:hAnsi="Calibri"/>
            <w:color w:val="1155cc"/>
            <w:sz w:val="24"/>
            <w:szCs w:val="24"/>
            <w:u w:val="single"/>
            <w:rtl w:val="0"/>
          </w:rPr>
          <w:t xml:space="preserve">https://kb.dataprotection.education/index.php/best-practice-library/best-practice/commitment-to-compliance</w:t>
        </w:r>
      </w:hyperlink>
      <w:r w:rsidDel="00000000" w:rsidR="00000000" w:rsidRPr="00000000">
        <w:rPr>
          <w:rFonts w:ascii="Calibri" w:cs="Calibri" w:eastAsia="Calibri" w:hAnsi="Calibri"/>
          <w:color w:val="595959"/>
          <w:sz w:val="24"/>
          <w:szCs w:val="24"/>
          <w:rtl w:val="0"/>
        </w:rPr>
        <w:t xml:space="preserve"> There are many more checklists that you’ll find useful. </w:t>
      </w:r>
    </w:p>
    <w:p w:rsidR="00000000" w:rsidDel="00000000" w:rsidP="00000000" w:rsidRDefault="00000000" w:rsidRPr="00000000" w14:paraId="00000027">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In addition, the governor best practice and terms of reference can also be used to support compliance if needed: </w:t>
      </w:r>
      <w:hyperlink r:id="rId12">
        <w:r w:rsidDel="00000000" w:rsidR="00000000" w:rsidRPr="00000000">
          <w:rPr>
            <w:rFonts w:ascii="Calibri" w:cs="Calibri" w:eastAsia="Calibri" w:hAnsi="Calibri"/>
            <w:color w:val="1155cc"/>
            <w:sz w:val="24"/>
            <w:szCs w:val="24"/>
            <w:u w:val="single"/>
            <w:rtl w:val="0"/>
          </w:rPr>
          <w:t xml:space="preserve">https://kb.dataprotection.education/index.php/best-practice-library/best-practice/governors-and-data</w:t>
        </w:r>
      </w:hyperlink>
      <w:r w:rsidDel="00000000" w:rsidR="00000000" w:rsidRPr="00000000">
        <w:rPr>
          <w:rFonts w:ascii="Calibri" w:cs="Calibri" w:eastAsia="Calibri" w:hAnsi="Calibri"/>
          <w:color w:val="595959"/>
          <w:sz w:val="24"/>
          <w:szCs w:val="24"/>
          <w:rtl w:val="0"/>
        </w:rPr>
        <w:t xml:space="preserve"> </w:t>
      </w:r>
    </w:p>
    <w:p w:rsidR="00000000" w:rsidDel="00000000" w:rsidP="00000000" w:rsidRDefault="00000000" w:rsidRPr="00000000" w14:paraId="00000028">
      <w:pPr>
        <w:spacing w:after="120" w:lineRule="auto"/>
        <w:rPr>
          <w:rFonts w:ascii="Calibri" w:cs="Calibri" w:eastAsia="Calibri" w:hAnsi="Calibri"/>
          <w:color w:val="595959"/>
          <w:sz w:val="24"/>
          <w:szCs w:val="24"/>
        </w:rPr>
      </w:pPr>
      <w:r w:rsidDel="00000000" w:rsidR="00000000" w:rsidRPr="00000000">
        <w:rPr>
          <w:rtl w:val="0"/>
        </w:rPr>
      </w:r>
    </w:p>
    <w:p w:rsidR="00000000" w:rsidDel="00000000" w:rsidP="00000000" w:rsidRDefault="00000000" w:rsidRPr="00000000" w14:paraId="00000029">
      <w:pPr>
        <w:spacing w:after="120" w:lineRule="auto"/>
        <w:rPr>
          <w:rFonts w:ascii="Calibri" w:cs="Calibri" w:eastAsia="Calibri" w:hAnsi="Calibri"/>
          <w:color w:val="595959"/>
          <w:sz w:val="16"/>
          <w:szCs w:val="16"/>
        </w:rPr>
      </w:pPr>
      <w:r w:rsidDel="00000000" w:rsidR="00000000" w:rsidRPr="00000000">
        <w:rPr>
          <w:rFonts w:ascii="Calibri" w:cs="Calibri" w:eastAsia="Calibri" w:hAnsi="Calibri"/>
          <w:b w:val="1"/>
          <w:color w:val="0591b4"/>
          <w:sz w:val="32"/>
          <w:szCs w:val="32"/>
          <w:rtl w:val="0"/>
        </w:rPr>
        <w:t xml:space="preserve">4. Working away from school best practice area and policy: </w:t>
      </w:r>
      <w:hyperlink r:id="rId13">
        <w:r w:rsidDel="00000000" w:rsidR="00000000" w:rsidRPr="00000000">
          <w:rPr>
            <w:rFonts w:ascii="Calibri" w:cs="Calibri" w:eastAsia="Calibri" w:hAnsi="Calibri"/>
            <w:b w:val="1"/>
            <w:color w:val="1155cc"/>
            <w:sz w:val="24"/>
            <w:szCs w:val="24"/>
            <w:u w:val="single"/>
            <w:rtl w:val="0"/>
          </w:rPr>
          <w:t xml:space="preserve">https://dataprotection.education/index.php/best-practice-library/best-practice/working-out-of-school</w:t>
        </w:r>
      </w:hyperlink>
      <w:r w:rsidDel="00000000" w:rsidR="00000000" w:rsidRPr="00000000">
        <w:rPr>
          <w:rFonts w:ascii="Calibri" w:cs="Calibri" w:eastAsia="Calibri" w:hAnsi="Calibri"/>
          <w:b w:val="1"/>
          <w:color w:val="0591b4"/>
          <w:sz w:val="24"/>
          <w:szCs w:val="24"/>
          <w:rtl w:val="0"/>
        </w:rPr>
        <w:t xml:space="preserve"> </w:t>
      </w:r>
      <w:r w:rsidDel="00000000" w:rsidR="00000000" w:rsidRPr="00000000">
        <w:rPr>
          <w:rtl w:val="0"/>
        </w:rPr>
      </w:r>
    </w:p>
    <w:p w:rsidR="00000000" w:rsidDel="00000000" w:rsidP="00000000" w:rsidRDefault="00000000" w:rsidRPr="00000000" w14:paraId="0000002A">
      <w:pPr>
        <w:spacing w:after="120" w:lineRule="auto"/>
        <w:rPr>
          <w:rFonts w:ascii="Calibri" w:cs="Calibri" w:eastAsia="Calibri" w:hAnsi="Calibri"/>
          <w:color w:val="595959"/>
          <w:sz w:val="24"/>
          <w:szCs w:val="24"/>
        </w:rPr>
      </w:pPr>
      <w:r w:rsidDel="00000000" w:rsidR="00000000" w:rsidRPr="00000000">
        <w:rPr>
          <w:rtl w:val="0"/>
        </w:rPr>
      </w:r>
    </w:p>
    <w:p w:rsidR="00000000" w:rsidDel="00000000" w:rsidP="00000000" w:rsidRDefault="00000000" w:rsidRPr="00000000" w14:paraId="0000002B">
      <w:pPr>
        <w:spacing w:after="120" w:lineRule="auto"/>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5. Publication scheme </w:t>
      </w:r>
    </w:p>
    <w:p w:rsidR="00000000" w:rsidDel="00000000" w:rsidP="00000000" w:rsidRDefault="00000000" w:rsidRPr="00000000" w14:paraId="0000002C">
      <w:pPr>
        <w:spacing w:after="120" w:lineRule="auto"/>
        <w:rPr>
          <w:rFonts w:ascii="Calibri" w:cs="Calibri" w:eastAsia="Calibri" w:hAnsi="Calibri"/>
          <w:b w:val="1"/>
          <w:color w:val="595959"/>
          <w:sz w:val="24"/>
          <w:szCs w:val="24"/>
        </w:rPr>
      </w:pPr>
      <w:r w:rsidDel="00000000" w:rsidR="00000000" w:rsidRPr="00000000">
        <w:rPr>
          <w:rFonts w:ascii="Calibri" w:cs="Calibri" w:eastAsia="Calibri" w:hAnsi="Calibri"/>
          <w:color w:val="595959"/>
          <w:sz w:val="24"/>
          <w:szCs w:val="24"/>
          <w:rtl w:val="0"/>
        </w:rPr>
        <w:t xml:space="preserve">The publication scheme has now been updated and as a public authority you should have one.  </w:t>
      </w:r>
      <w:r w:rsidDel="00000000" w:rsidR="00000000" w:rsidRPr="00000000">
        <w:rPr>
          <w:rFonts w:ascii="Calibri" w:cs="Calibri" w:eastAsia="Calibri" w:hAnsi="Calibri"/>
          <w:b w:val="1"/>
          <w:color w:val="595959"/>
          <w:sz w:val="24"/>
          <w:szCs w:val="24"/>
          <w:rtl w:val="0"/>
        </w:rPr>
        <w:t xml:space="preserve">The updated guidance can be obtained from: </w:t>
      </w:r>
      <w:hyperlink r:id="rId14">
        <w:r w:rsidDel="00000000" w:rsidR="00000000" w:rsidRPr="00000000">
          <w:rPr>
            <w:rFonts w:ascii="Calibri" w:cs="Calibri" w:eastAsia="Calibri" w:hAnsi="Calibri"/>
            <w:color w:val="1155cc"/>
            <w:sz w:val="24"/>
            <w:szCs w:val="24"/>
            <w:u w:val="single"/>
            <w:rtl w:val="0"/>
          </w:rPr>
          <w:t xml:space="preserve">https://dataprotection.education/news-top/news/83-best-practice-updates/182-model-publication-scheme-amendments-improvements-and-updates</w:t>
        </w:r>
      </w:hyperlink>
      <w:r w:rsidDel="00000000" w:rsidR="00000000" w:rsidRPr="00000000">
        <w:rPr>
          <w:rFonts w:ascii="Calibri" w:cs="Calibri" w:eastAsia="Calibri" w:hAnsi="Calibri"/>
          <w:color w:val="595959"/>
          <w:sz w:val="24"/>
          <w:szCs w:val="24"/>
          <w:rtl w:val="0"/>
        </w:rPr>
        <w:t xml:space="preserve"> </w:t>
      </w:r>
      <w:r w:rsidDel="00000000" w:rsidR="00000000" w:rsidRPr="00000000">
        <w:rPr>
          <w:rtl w:val="0"/>
        </w:rPr>
      </w:r>
    </w:p>
    <w:p w:rsidR="00000000" w:rsidDel="00000000" w:rsidP="00000000" w:rsidRDefault="00000000" w:rsidRPr="00000000" w14:paraId="0000002D">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b w:val="1"/>
          <w:color w:val="595959"/>
          <w:sz w:val="24"/>
          <w:szCs w:val="24"/>
          <w:rtl w:val="0"/>
        </w:rPr>
        <w:t xml:space="preserve">Updated publication schemes can be obtained from: </w:t>
      </w:r>
      <w:hyperlink r:id="rId15">
        <w:r w:rsidDel="00000000" w:rsidR="00000000" w:rsidRPr="00000000">
          <w:rPr>
            <w:rFonts w:ascii="Calibri" w:cs="Calibri" w:eastAsia="Calibri" w:hAnsi="Calibri"/>
            <w:color w:val="1155cc"/>
            <w:sz w:val="24"/>
            <w:szCs w:val="24"/>
            <w:u w:val="single"/>
            <w:rtl w:val="0"/>
          </w:rPr>
          <w:t xml:space="preserve">https://kb.dataprotection.education/index.php/best-practice-library/best-practice/freedom-of-information</w:t>
        </w:r>
      </w:hyperlink>
      <w:r w:rsidDel="00000000" w:rsidR="00000000" w:rsidRPr="00000000">
        <w:rPr>
          <w:rFonts w:ascii="Calibri" w:cs="Calibri" w:eastAsia="Calibri" w:hAnsi="Calibri"/>
          <w:color w:val="595959"/>
          <w:sz w:val="24"/>
          <w:szCs w:val="24"/>
          <w:rtl w:val="0"/>
        </w:rPr>
        <w:t xml:space="preserve">  </w:t>
      </w:r>
    </w:p>
    <w:p w:rsidR="00000000" w:rsidDel="00000000" w:rsidP="00000000" w:rsidRDefault="00000000" w:rsidRPr="00000000" w14:paraId="0000002E">
      <w:pPr>
        <w:spacing w:after="120" w:lineRule="auto"/>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6. Audit walk </w:t>
      </w:r>
    </w:p>
    <w:p w:rsidR="00000000" w:rsidDel="00000000" w:rsidP="00000000" w:rsidRDefault="00000000" w:rsidRPr="00000000" w14:paraId="0000002F">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As we are unable to visit at present it is worth considering completing your own internal walk. You can check against previous report findings to identify improvements or areas that still need to be improved. You can also use the best practice guides to support the process: </w:t>
      </w:r>
      <w:hyperlink r:id="rId16">
        <w:r w:rsidDel="00000000" w:rsidR="00000000" w:rsidRPr="00000000">
          <w:rPr>
            <w:rFonts w:ascii="Calibri" w:cs="Calibri" w:eastAsia="Calibri" w:hAnsi="Calibri"/>
            <w:color w:val="1155cc"/>
            <w:sz w:val="24"/>
            <w:szCs w:val="24"/>
            <w:u w:val="single"/>
            <w:rtl w:val="0"/>
          </w:rPr>
          <w:t xml:space="preserve">https://kb.dataprotection.education/best-practice-library/documents/drip-feeds/57-dpe-quick-reference-guid</w:t>
        </w:r>
      </w:hyperlink>
      <w:r w:rsidDel="00000000" w:rsidR="00000000" w:rsidRPr="00000000">
        <w:rPr>
          <w:rtl w:val="0"/>
        </w:rPr>
      </w:r>
    </w:p>
    <w:p w:rsidR="00000000" w:rsidDel="00000000" w:rsidP="00000000" w:rsidRDefault="00000000" w:rsidRPr="00000000" w14:paraId="00000030">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b w:val="1"/>
          <w:sz w:val="24"/>
          <w:szCs w:val="24"/>
          <w:rtl w:val="0"/>
        </w:rPr>
        <w:t xml:space="preserve">DPE will also be providing a live online audit walk that will be available shortly (demonstrated during the consultation).</w:t>
      </w:r>
      <w:r w:rsidDel="00000000" w:rsidR="00000000" w:rsidRPr="00000000">
        <w:rPr>
          <w:rtl w:val="0"/>
        </w:rPr>
      </w:r>
    </w:p>
    <w:p w:rsidR="00000000" w:rsidDel="00000000" w:rsidP="00000000" w:rsidRDefault="00000000" w:rsidRPr="00000000" w14:paraId="00000031">
      <w:pPr>
        <w:spacing w:after="120" w:lineRule="auto"/>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7. Record of Processing (RoP)</w:t>
      </w:r>
    </w:p>
    <w:p w:rsidR="00000000" w:rsidDel="00000000" w:rsidP="00000000" w:rsidRDefault="00000000" w:rsidRPr="00000000" w14:paraId="00000032">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The ROP will start to be used for your record of processing. DPEs methodology for rolling out the RoP can be found here: </w:t>
      </w:r>
      <w:hyperlink r:id="rId17">
        <w:r w:rsidDel="00000000" w:rsidR="00000000" w:rsidRPr="00000000">
          <w:rPr>
            <w:rFonts w:ascii="Calibri" w:cs="Calibri" w:eastAsia="Calibri" w:hAnsi="Calibri"/>
            <w:color w:val="1155cc"/>
            <w:sz w:val="24"/>
            <w:szCs w:val="24"/>
            <w:u w:val="single"/>
            <w:rtl w:val="0"/>
          </w:rPr>
          <w:t xml:space="preserve">https://kb.dataprotection.education/news-top/news/94-siteupdates/175-record-of-processing-rop-supporting-information</w:t>
        </w:r>
      </w:hyperlink>
      <w:r w:rsidDel="00000000" w:rsidR="00000000" w:rsidRPr="00000000">
        <w:rPr>
          <w:rFonts w:ascii="Calibri" w:cs="Calibri" w:eastAsia="Calibri" w:hAnsi="Calibri"/>
          <w:color w:val="595959"/>
          <w:sz w:val="24"/>
          <w:szCs w:val="24"/>
          <w:rtl w:val="0"/>
        </w:rPr>
        <w:t xml:space="preserve">  The RoP can be used for risk assessments (DPIAs), especially where new technologies are being introduced. Always email: dpo@dataprotection.education for support if needed.  </w:t>
      </w:r>
    </w:p>
    <w:p w:rsidR="00000000" w:rsidDel="00000000" w:rsidP="00000000" w:rsidRDefault="00000000" w:rsidRPr="00000000" w14:paraId="00000033">
      <w:pPr>
        <w:spacing w:after="120" w:lineRule="auto"/>
        <w:rPr>
          <w:rFonts w:ascii="Calibri" w:cs="Calibri" w:eastAsia="Calibri" w:hAnsi="Calibri"/>
          <w:b w:val="1"/>
          <w:color w:val="595959"/>
          <w:sz w:val="24"/>
          <w:szCs w:val="24"/>
        </w:rPr>
      </w:pPr>
      <w:r w:rsidDel="00000000" w:rsidR="00000000" w:rsidRPr="00000000">
        <w:rPr>
          <w:rFonts w:ascii="Calibri" w:cs="Calibri" w:eastAsia="Calibri" w:hAnsi="Calibri"/>
          <w:b w:val="1"/>
          <w:color w:val="595959"/>
          <w:sz w:val="24"/>
          <w:szCs w:val="24"/>
          <w:rtl w:val="0"/>
        </w:rPr>
        <w:t xml:space="preserve">Next steps:</w:t>
      </w:r>
    </w:p>
    <w:p w:rsidR="00000000" w:rsidDel="00000000" w:rsidP="00000000" w:rsidRDefault="00000000" w:rsidRPr="00000000" w14:paraId="00000034">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We will work with you and demonstrate how the RoP can be adapted to reflect your school’s individual practice. </w:t>
      </w:r>
    </w:p>
    <w:p w:rsidR="00000000" w:rsidDel="00000000" w:rsidP="00000000" w:rsidRDefault="00000000" w:rsidRPr="00000000" w14:paraId="00000035">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b w:val="1"/>
          <w:color w:val="595959"/>
          <w:sz w:val="24"/>
          <w:szCs w:val="24"/>
          <w:rtl w:val="0"/>
        </w:rPr>
        <w:t xml:space="preserve">Step 1</w:t>
      </w:r>
      <w:r w:rsidDel="00000000" w:rsidR="00000000" w:rsidRPr="00000000">
        <w:rPr>
          <w:rFonts w:ascii="Calibri" w:cs="Calibri" w:eastAsia="Calibri" w:hAnsi="Calibri"/>
          <w:color w:val="595959"/>
          <w:sz w:val="24"/>
          <w:szCs w:val="24"/>
          <w:rtl w:val="0"/>
        </w:rPr>
        <w:t xml:space="preserve"> - a general introduction to the RoP tool with a brief overview of the generic process relating to financial/management of the school. </w:t>
      </w:r>
    </w:p>
    <w:p w:rsidR="00000000" w:rsidDel="00000000" w:rsidP="00000000" w:rsidRDefault="00000000" w:rsidRPr="00000000" w14:paraId="00000036">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b w:val="1"/>
          <w:color w:val="595959"/>
          <w:sz w:val="24"/>
          <w:szCs w:val="24"/>
          <w:rtl w:val="0"/>
        </w:rPr>
        <w:t xml:space="preserve">Step 2</w:t>
      </w:r>
      <w:r w:rsidDel="00000000" w:rsidR="00000000" w:rsidRPr="00000000">
        <w:rPr>
          <w:rFonts w:ascii="Calibri" w:cs="Calibri" w:eastAsia="Calibri" w:hAnsi="Calibri"/>
          <w:color w:val="595959"/>
          <w:sz w:val="24"/>
          <w:szCs w:val="24"/>
          <w:rtl w:val="0"/>
        </w:rPr>
        <w:t xml:space="preserve">- a more in depth look at the RoP with key process owners and how completing the master lists will ensure the school reflects the technical measures and procedures it has in place to safeguard personal data.  </w:t>
      </w:r>
    </w:p>
    <w:p w:rsidR="00000000" w:rsidDel="00000000" w:rsidP="00000000" w:rsidRDefault="00000000" w:rsidRPr="00000000" w14:paraId="00000037">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b w:val="1"/>
          <w:color w:val="595959"/>
          <w:sz w:val="24"/>
          <w:szCs w:val="24"/>
          <w:rtl w:val="0"/>
        </w:rPr>
        <w:t xml:space="preserve">Step 3</w:t>
      </w:r>
      <w:r w:rsidDel="00000000" w:rsidR="00000000" w:rsidRPr="00000000">
        <w:rPr>
          <w:rFonts w:ascii="Calibri" w:cs="Calibri" w:eastAsia="Calibri" w:hAnsi="Calibri"/>
          <w:color w:val="595959"/>
          <w:sz w:val="24"/>
          <w:szCs w:val="24"/>
          <w:rtl w:val="0"/>
        </w:rPr>
        <w:t xml:space="preserve"> – online workshops and group sessions to support schools with further individual sessions as needed.</w:t>
      </w:r>
    </w:p>
    <w:p w:rsidR="00000000" w:rsidDel="00000000" w:rsidP="00000000" w:rsidRDefault="00000000" w:rsidRPr="00000000" w14:paraId="00000038">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Note: a number of reporting functions i.e. risk reports will shortly be available. </w:t>
      </w:r>
    </w:p>
    <w:p w:rsidR="00000000" w:rsidDel="00000000" w:rsidP="00000000" w:rsidRDefault="00000000" w:rsidRPr="00000000" w14:paraId="00000039">
      <w:pPr>
        <w:spacing w:after="120" w:lineRule="auto"/>
        <w:rPr>
          <w:rFonts w:ascii="Calibri" w:cs="Calibri" w:eastAsia="Calibri" w:hAnsi="Calibri"/>
          <w:sz w:val="24"/>
          <w:szCs w:val="24"/>
        </w:rPr>
      </w:pPr>
      <w:r w:rsidDel="00000000" w:rsidR="00000000" w:rsidRPr="00000000">
        <w:rPr>
          <w:rFonts w:ascii="Calibri" w:cs="Calibri" w:eastAsia="Calibri" w:hAnsi="Calibri"/>
          <w:b w:val="1"/>
          <w:color w:val="0591b4"/>
          <w:sz w:val="32"/>
          <w:szCs w:val="32"/>
          <w:rtl w:val="0"/>
        </w:rPr>
        <w:t xml:space="preserve">8. Compliance Manager: </w:t>
      </w:r>
      <w:r w:rsidDel="00000000" w:rsidR="00000000" w:rsidRPr="00000000">
        <w:rPr>
          <w:rFonts w:ascii="Calibri" w:cs="Calibri" w:eastAsia="Calibri" w:hAnsi="Calibri"/>
          <w:sz w:val="24"/>
          <w:szCs w:val="24"/>
          <w:rtl w:val="0"/>
        </w:rPr>
        <w:t xml:space="preserve">The video and demonstration for using the Compliance Manager can be obtained from the video link on the Compliance Manager screen. </w:t>
      </w:r>
    </w:p>
    <w:p w:rsidR="00000000" w:rsidDel="00000000" w:rsidP="00000000" w:rsidRDefault="00000000" w:rsidRPr="00000000" w14:paraId="0000003A">
      <w:pPr>
        <w:spacing w:after="120" w:lineRule="auto"/>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3B">
      <w:pPr>
        <w:spacing w:after="120" w:lineRule="auto"/>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3C">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b w:val="1"/>
          <w:color w:val="0591b4"/>
          <w:sz w:val="32"/>
          <w:szCs w:val="32"/>
          <w:rtl w:val="0"/>
        </w:rPr>
        <w:t xml:space="preserve"> </w:t>
      </w:r>
      <w:r w:rsidDel="00000000" w:rsidR="00000000" w:rsidRPr="00000000">
        <w:rPr>
          <w:rtl w:val="0"/>
        </w:rPr>
      </w:r>
    </w:p>
    <w:p w:rsidR="00000000" w:rsidDel="00000000" w:rsidP="00000000" w:rsidRDefault="00000000" w:rsidRPr="00000000" w14:paraId="0000003D">
      <w:pPr>
        <w:spacing w:after="120" w:lineRule="auto"/>
        <w:rPr>
          <w:rFonts w:ascii="Calibri" w:cs="Calibri" w:eastAsia="Calibri" w:hAnsi="Calibri"/>
          <w:color w:val="595959"/>
          <w:sz w:val="24"/>
          <w:szCs w:val="24"/>
        </w:rPr>
      </w:pPr>
      <w:r w:rsidDel="00000000" w:rsidR="00000000" w:rsidRPr="00000000">
        <w:rPr>
          <w:rtl w:val="0"/>
        </w:rPr>
      </w:r>
    </w:p>
    <w:p w:rsidR="00000000" w:rsidDel="00000000" w:rsidP="00000000" w:rsidRDefault="00000000" w:rsidRPr="00000000" w14:paraId="0000003E">
      <w:pPr>
        <w:spacing w:after="120" w:lineRule="auto"/>
        <w:rPr>
          <w:rFonts w:ascii="Quattrocento Sans" w:cs="Quattrocento Sans" w:eastAsia="Quattrocento Sans" w:hAnsi="Quattrocento Sans"/>
          <w:b w:val="1"/>
          <w:color w:val="595959"/>
          <w:sz w:val="24"/>
          <w:szCs w:val="24"/>
        </w:rPr>
      </w:pPr>
      <w:r w:rsidDel="00000000" w:rsidR="00000000" w:rsidRPr="00000000">
        <w:rPr>
          <w:rtl w:val="0"/>
        </w:rPr>
      </w:r>
    </w:p>
    <w:p w:rsidR="00000000" w:rsidDel="00000000" w:rsidP="00000000" w:rsidRDefault="00000000" w:rsidRPr="00000000" w14:paraId="0000003F">
      <w:pPr>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40">
      <w:pPr>
        <w:spacing w:after="120" w:lineRule="auto"/>
        <w:rPr>
          <w:rFonts w:ascii="Calibri" w:cs="Calibri" w:eastAsia="Calibri" w:hAnsi="Calibri"/>
          <w:color w:val="595959"/>
          <w:sz w:val="24"/>
          <w:szCs w:val="24"/>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sz w:val="22"/>
          <w:szCs w:val="22"/>
        </w:rPr>
      </w:pPr>
      <w:r w:rsidDel="00000000" w:rsidR="00000000" w:rsidRPr="00000000">
        <w:rPr>
          <w:rtl w:val="0"/>
        </w:rPr>
      </w:r>
    </w:p>
    <w:sectPr>
      <w:headerReference r:id="rId18"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3">
    <w:pPr>
      <w:rPr/>
    </w:pPr>
    <w:r w:rsidDel="00000000" w:rsidR="00000000" w:rsidRPr="00000000">
      <w:rPr/>
      <w:drawing>
        <wp:inline distB="0" distT="0" distL="114300" distR="114300">
          <wp:extent cx="2552700" cy="68580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52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hd w:fill="0591b4" w:val="clear"/>
      <w:rPr/>
    </w:pPr>
    <w:r w:rsidDel="00000000" w:rsidR="00000000" w:rsidRPr="00000000">
      <w:rPr>
        <w:color w:val="0591b4"/>
        <w:sz w:val="4"/>
        <w:szCs w:val="4"/>
        <w:rtl w:val="0"/>
      </w:rPr>
      <w:t xml:space="preserve">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ListParagraph">
    <w:name w:val="List Paragraph"/>
    <w:basedOn w:val="Normal"/>
    <w:link w:val="ListParagraphChar"/>
    <w:uiPriority w:val="34"/>
    <w:qFormat w:val="1"/>
    <w:rsid w:val="009119EA"/>
    <w:pPr>
      <w:ind w:left="720"/>
      <w:contextualSpacing w:val="1"/>
    </w:pPr>
    <w:rPr>
      <w:rFonts w:ascii="Calibri" w:cs="Calibri" w:eastAsia="Calibri" w:hAnsi="Calibri"/>
      <w:sz w:val="24"/>
      <w:szCs w:val="24"/>
      <w:lang w:val="en-GB"/>
    </w:rPr>
  </w:style>
  <w:style w:type="character" w:styleId="ListParagraphChar" w:customStyle="1">
    <w:name w:val="List Paragraph Char"/>
    <w:link w:val="ListParagraph"/>
    <w:uiPriority w:val="34"/>
    <w:rsid w:val="009119EA"/>
    <w:rPr>
      <w:rFonts w:ascii="Calibri" w:cs="Calibri" w:eastAsia="Calibri" w:hAnsi="Calibri"/>
      <w:sz w:val="24"/>
      <w:szCs w:val="24"/>
      <w:lang w:val="en-GB"/>
    </w:rPr>
  </w:style>
  <w:style w:type="paragraph" w:styleId="NormalWeb">
    <w:name w:val="Normal (Web)"/>
    <w:basedOn w:val="Normal"/>
    <w:uiPriority w:val="99"/>
    <w:unhideWhenUsed w:val="1"/>
    <w:rsid w:val="009119EA"/>
    <w:pPr>
      <w:spacing w:after="100" w:afterAutospacing="1" w:before="100" w:beforeAutospacing="1"/>
    </w:pPr>
    <w:rPr>
      <w:rFonts w:ascii="Times New Roman" w:cs="Times New Roman" w:eastAsia="Times New Roman" w:hAnsi="Times New Roman"/>
      <w:sz w:val="24"/>
      <w:szCs w:val="24"/>
      <w:lang w:val="en-GB"/>
    </w:rPr>
  </w:style>
  <w:style w:type="character" w:styleId="Hyperlink">
    <w:name w:val="Hyperlink"/>
    <w:uiPriority w:val="99"/>
    <w:unhideWhenUsed w:val="1"/>
    <w:rsid w:val="009119EA"/>
    <w:rPr>
      <w:color w:val="0563c1"/>
      <w:u w:val="single"/>
    </w:rPr>
  </w:style>
  <w:style w:type="table" w:styleId="TableGrid">
    <w:name w:val="Table Grid"/>
    <w:basedOn w:val="TableNormal"/>
    <w:uiPriority w:val="39"/>
    <w:rsid w:val="009119EA"/>
    <w:rPr>
      <w:rFonts w:asciiTheme="minorHAnsi" w:cstheme="minorBidi" w:eastAsiaTheme="minorHAnsi" w:hAnsiTheme="minorHAnsi"/>
      <w:sz w:val="24"/>
      <w:szCs w:val="24"/>
      <w:lang w:eastAsia="en-US"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uiPriority w:val="1"/>
    <w:qFormat w:val="1"/>
    <w:rsid w:val="009119EA"/>
    <w:rPr>
      <w:rFonts w:ascii="Calibri" w:cs="Calibri" w:eastAsia="Calibri" w:hAnsi="Calibri"/>
      <w:sz w:val="24"/>
      <w:szCs w:val="24"/>
      <w:lang w:val="en-GB"/>
    </w:rPr>
  </w:style>
  <w:style w:type="character" w:styleId="UnresolvedMention">
    <w:name w:val="Unresolved Mention"/>
    <w:basedOn w:val="DefaultParagraphFont"/>
    <w:uiPriority w:val="99"/>
    <w:semiHidden w:val="1"/>
    <w:unhideWhenUsed w:val="1"/>
    <w:rsid w:val="004F450B"/>
    <w:rPr>
      <w:color w:val="605e5c"/>
      <w:shd w:color="auto" w:fill="e1dfdd" w:val="clear"/>
    </w:rPr>
  </w:style>
  <w:style w:type="character" w:styleId="FollowedHyperlink">
    <w:name w:val="FollowedHyperlink"/>
    <w:basedOn w:val="DefaultParagraphFont"/>
    <w:uiPriority w:val="99"/>
    <w:semiHidden w:val="1"/>
    <w:unhideWhenUsed w:val="1"/>
    <w:rsid w:val="004F450B"/>
    <w:rPr>
      <w:color w:val="800080" w:themeColor="followedHyperlink"/>
      <w:u w:val="single"/>
    </w:rPr>
  </w:style>
  <w:style w:type="paragraph" w:styleId="BalloonText">
    <w:name w:val="Balloon Text"/>
    <w:basedOn w:val="Normal"/>
    <w:link w:val="BalloonTextChar"/>
    <w:uiPriority w:val="99"/>
    <w:semiHidden w:val="1"/>
    <w:unhideWhenUsed w:val="1"/>
    <w:rsid w:val="003C7CF5"/>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3C7CF5"/>
    <w:rPr>
      <w:rFonts w:ascii="Segoe UI" w:cs="Segoe UI" w:hAnsi="Segoe UI"/>
      <w:sz w:val="18"/>
      <w:szCs w:val="18"/>
    </w:rPr>
  </w:style>
  <w:style w:type="paragraph" w:styleId="Header">
    <w:name w:val="header"/>
    <w:basedOn w:val="Normal"/>
    <w:link w:val="HeaderChar"/>
    <w:uiPriority w:val="99"/>
    <w:unhideWhenUsed w:val="1"/>
    <w:rsid w:val="00533070"/>
    <w:pPr>
      <w:tabs>
        <w:tab w:val="center" w:pos="4513"/>
        <w:tab w:val="right" w:pos="9026"/>
      </w:tabs>
    </w:pPr>
  </w:style>
  <w:style w:type="character" w:styleId="HeaderChar" w:customStyle="1">
    <w:name w:val="Header Char"/>
    <w:basedOn w:val="DefaultParagraphFont"/>
    <w:link w:val="Header"/>
    <w:uiPriority w:val="99"/>
    <w:rsid w:val="00533070"/>
  </w:style>
  <w:style w:type="paragraph" w:styleId="Footer">
    <w:name w:val="footer"/>
    <w:basedOn w:val="Normal"/>
    <w:link w:val="FooterChar"/>
    <w:uiPriority w:val="99"/>
    <w:unhideWhenUsed w:val="1"/>
    <w:rsid w:val="00533070"/>
    <w:pPr>
      <w:tabs>
        <w:tab w:val="center" w:pos="4513"/>
        <w:tab w:val="right" w:pos="9026"/>
      </w:tabs>
    </w:pPr>
  </w:style>
  <w:style w:type="character" w:styleId="FooterChar" w:customStyle="1">
    <w:name w:val="Footer Char"/>
    <w:basedOn w:val="DefaultParagraphFont"/>
    <w:link w:val="Footer"/>
    <w:uiPriority w:val="99"/>
    <w:rsid w:val="00533070"/>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kb.dataprotection.education/index.php/best-practice-library/best-practice/commitment-to-compliance" TargetMode="External"/><Relationship Id="rId10" Type="http://schemas.openxmlformats.org/officeDocument/2006/relationships/hyperlink" Target="https://dataprotection.education/student-list/users" TargetMode="External"/><Relationship Id="rId13" Type="http://schemas.openxmlformats.org/officeDocument/2006/relationships/hyperlink" Target="https://dataprotection.education/index.php/best-practice-library/best-practice/working-out-of-school" TargetMode="External"/><Relationship Id="rId12" Type="http://schemas.openxmlformats.org/officeDocument/2006/relationships/hyperlink" Target="https://kb.dataprotection.education/index.php/best-practice-library/best-practice/governors-and-dat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protection.education/manager-reports?view=reports" TargetMode="External"/><Relationship Id="rId15" Type="http://schemas.openxmlformats.org/officeDocument/2006/relationships/hyperlink" Target="https://kb.dataprotection.education/index.php/best-practice-library/best-practice/freedom-of-information" TargetMode="External"/><Relationship Id="rId14" Type="http://schemas.openxmlformats.org/officeDocument/2006/relationships/hyperlink" Target="https://dataprotection.education/news-top/news/83-best-practice-updates/182-model-publication-scheme-amendments-improvements-and-updates" TargetMode="External"/><Relationship Id="rId17" Type="http://schemas.openxmlformats.org/officeDocument/2006/relationships/hyperlink" Target="https://kb.dataprotection.education/news-top/news/94-siteupdates/175-record-of-processing-rop-supporting-information" TargetMode="External"/><Relationship Id="rId16" Type="http://schemas.openxmlformats.org/officeDocument/2006/relationships/hyperlink" Target="https://kb.dataprotection.education/best-practice-library/documents/drip-feeds/57-dpe-quick-reference-guide"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hyperlink" Target="https://dataprotection.education/index.php/best-practice-library/best-practice/commitment-to-compliance" TargetMode="External"/><Relationship Id="rId8" Type="http://schemas.openxmlformats.org/officeDocument/2006/relationships/hyperlink" Target="https://dataprotection.education/index.php/best-practice-library/best-practice/coronaviru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XSQoci9sgRmNg8hZBjaNVfAdpjA==">AMUW2mVZUqqWV9Mj5cfgQACGl6/hB4oXRJSV6/X8gEvU+hxJOhDW7mfyd2E9i3GO1eWXcwr32iVQ+1nRATgHWs6zwI23f81X3hZxNWpA0Sxmb/aFIM34Zf8=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2021-02-09T14:57:00Z</dcterms:created>
  <dc:creator>Stuart Lee</dc:creator>
</cp:coreProperties>
</file>