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6EF08E" w14:textId="77777777" w:rsidR="001B0B0F" w:rsidRDefault="006A021C">
      <w:pPr>
        <w:jc w:val="both"/>
        <w:rPr>
          <w:rFonts w:ascii="Calibri" w:eastAsia="Calibri" w:hAnsi="Calibri" w:cs="Calibri"/>
          <w:b/>
          <w:sz w:val="32"/>
          <w:szCs w:val="32"/>
        </w:rPr>
      </w:pPr>
      <w:r>
        <w:rPr>
          <w:rFonts w:ascii="Calibri" w:eastAsia="Calibri" w:hAnsi="Calibri" w:cs="Calibri"/>
          <w:b/>
          <w:color w:val="0591B4"/>
          <w:sz w:val="32"/>
          <w:szCs w:val="32"/>
        </w:rPr>
        <w:t xml:space="preserve">Pilgrim Federation Remote Consultation                           Audit Date: </w:t>
      </w:r>
      <w:r>
        <w:rPr>
          <w:rFonts w:ascii="Calibri" w:eastAsia="Calibri" w:hAnsi="Calibri" w:cs="Calibri"/>
          <w:color w:val="0591B4"/>
          <w:sz w:val="32"/>
          <w:szCs w:val="32"/>
        </w:rPr>
        <w:t>23/02/21</w:t>
      </w:r>
    </w:p>
    <w:p w14:paraId="4B0F4942" w14:textId="77777777" w:rsidR="001B0B0F" w:rsidRDefault="006A021C">
      <w:pPr>
        <w:jc w:val="both"/>
        <w:rPr>
          <w:sz w:val="22"/>
          <w:szCs w:val="2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r>
        <w:rPr>
          <w:rFonts w:ascii="Calibri" w:eastAsia="Calibri" w:hAnsi="Calibri" w:cs="Calibri"/>
          <w:b/>
          <w:color w:val="0591B4"/>
          <w:sz w:val="32"/>
          <w:szCs w:val="32"/>
        </w:rPr>
        <w:t xml:space="preserve">School member: </w:t>
      </w:r>
      <w:r>
        <w:rPr>
          <w:rFonts w:ascii="Calibri" w:eastAsia="Calibri" w:hAnsi="Calibri" w:cs="Calibri"/>
          <w:color w:val="0591B4"/>
          <w:sz w:val="32"/>
          <w:szCs w:val="32"/>
        </w:rPr>
        <w:t xml:space="preserve">Mary and Helen </w:t>
      </w:r>
    </w:p>
    <w:p w14:paraId="247A425E" w14:textId="77777777" w:rsidR="001B0B0F" w:rsidRDefault="006A021C">
      <w:pPr>
        <w:shd w:val="clear" w:color="auto" w:fill="9CC5DB"/>
        <w:jc w:val="both"/>
        <w:rPr>
          <w:rFonts w:ascii="Calibri" w:eastAsia="Calibri" w:hAnsi="Calibri" w:cs="Calibri"/>
        </w:rPr>
      </w:pPr>
      <w:r>
        <w:rPr>
          <w:rFonts w:ascii="Calibri" w:eastAsia="Calibri" w:hAnsi="Calibri" w:cs="Calibri"/>
          <w:color w:val="9CC5DB"/>
          <w:sz w:val="2"/>
          <w:szCs w:val="2"/>
        </w:rPr>
        <w:t>_</w:t>
      </w:r>
    </w:p>
    <w:p w14:paraId="0150DE61" w14:textId="77777777" w:rsidR="001B0B0F" w:rsidRDefault="001B0B0F">
      <w:pPr>
        <w:jc w:val="both"/>
        <w:rPr>
          <w:rFonts w:ascii="Calibri" w:eastAsia="Calibri" w:hAnsi="Calibri" w:cs="Calibri"/>
        </w:rPr>
      </w:pPr>
    </w:p>
    <w:p w14:paraId="166FD4A1" w14:textId="77777777" w:rsidR="001B0B0F" w:rsidRDefault="006A021C">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5B3CF077" w14:textId="77777777" w:rsidR="001B0B0F" w:rsidRDefault="006A021C">
      <w:pPr>
        <w:numPr>
          <w:ilvl w:val="0"/>
          <w:numId w:val="2"/>
        </w:numPr>
        <w:shd w:val="clear" w:color="auto" w:fill="FFFFFF"/>
        <w:rPr>
          <w:sz w:val="22"/>
          <w:szCs w:val="22"/>
        </w:rPr>
      </w:pPr>
      <w:r>
        <w:rPr>
          <w:rFonts w:ascii="Calibri" w:eastAsia="Calibri" w:hAnsi="Calibri" w:cs="Calibri"/>
          <w:sz w:val="24"/>
          <w:szCs w:val="24"/>
        </w:rPr>
        <w:t>Website updates including best practice areas and updates to existing policies/</w:t>
      </w:r>
      <w:proofErr w:type="gramStart"/>
      <w:r>
        <w:rPr>
          <w:rFonts w:ascii="Calibri" w:eastAsia="Calibri" w:hAnsi="Calibri" w:cs="Calibri"/>
          <w:sz w:val="24"/>
          <w:szCs w:val="24"/>
        </w:rPr>
        <w:t>documentation</w:t>
      </w:r>
      <w:proofErr w:type="gramEnd"/>
    </w:p>
    <w:p w14:paraId="4BE1F19D" w14:textId="77777777" w:rsidR="001B0B0F" w:rsidRDefault="006A021C">
      <w:pPr>
        <w:numPr>
          <w:ilvl w:val="0"/>
          <w:numId w:val="2"/>
        </w:numPr>
        <w:shd w:val="clear" w:color="auto" w:fill="FFFFFF"/>
        <w:rPr>
          <w:sz w:val="22"/>
          <w:szCs w:val="22"/>
        </w:rPr>
      </w:pPr>
      <w:r>
        <w:rPr>
          <w:rFonts w:ascii="Calibri" w:eastAsia="Calibri" w:hAnsi="Calibri" w:cs="Calibri"/>
          <w:sz w:val="24"/>
          <w:szCs w:val="24"/>
        </w:rPr>
        <w:t xml:space="preserve">Review of training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GDPR refresher and work away from school</w:t>
      </w:r>
    </w:p>
    <w:p w14:paraId="35FEF73E" w14:textId="77777777" w:rsidR="001B0B0F" w:rsidRDefault="006A021C">
      <w:pPr>
        <w:numPr>
          <w:ilvl w:val="0"/>
          <w:numId w:val="2"/>
        </w:numPr>
        <w:shd w:val="clear" w:color="auto" w:fill="FFFFFF"/>
        <w:rPr>
          <w:sz w:val="22"/>
          <w:szCs w:val="22"/>
        </w:rPr>
      </w:pPr>
      <w:r>
        <w:rPr>
          <w:rFonts w:ascii="Calibri" w:eastAsia="Calibri" w:hAnsi="Calibri" w:cs="Calibri"/>
          <w:sz w:val="24"/>
          <w:szCs w:val="24"/>
        </w:rPr>
        <w:t>Internal audit templates</w:t>
      </w:r>
    </w:p>
    <w:p w14:paraId="115FCBE2" w14:textId="77777777" w:rsidR="001B0B0F" w:rsidRDefault="006A021C">
      <w:pPr>
        <w:numPr>
          <w:ilvl w:val="0"/>
          <w:numId w:val="2"/>
        </w:numPr>
        <w:shd w:val="clear" w:color="auto" w:fill="FFFFFF"/>
        <w:rPr>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 a demonstration of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tool</w:t>
      </w:r>
    </w:p>
    <w:p w14:paraId="231D6615" w14:textId="77777777" w:rsidR="001B0B0F" w:rsidRDefault="001B0B0F">
      <w:pPr>
        <w:jc w:val="both"/>
        <w:rPr>
          <w:rFonts w:ascii="Calibri" w:eastAsia="Calibri" w:hAnsi="Calibri" w:cs="Calibri"/>
          <w:b/>
          <w:sz w:val="24"/>
          <w:szCs w:val="24"/>
        </w:rPr>
      </w:pPr>
    </w:p>
    <w:p w14:paraId="39E20A52" w14:textId="77777777" w:rsidR="001B0B0F" w:rsidRDefault="006A021C">
      <w:p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Priorities </w:t>
      </w:r>
      <w:r>
        <w:rPr>
          <w:rFonts w:ascii="Calibri" w:eastAsia="Calibri" w:hAnsi="Calibri" w:cs="Calibri"/>
          <w:b/>
          <w:color w:val="0591B4"/>
          <w:sz w:val="32"/>
          <w:szCs w:val="32"/>
        </w:rPr>
        <w:t>from the consultation are detailed below:</w:t>
      </w:r>
    </w:p>
    <w:p w14:paraId="2FB2CBB3" w14:textId="77777777" w:rsidR="001B0B0F" w:rsidRDefault="006A021C">
      <w:pPr>
        <w:numPr>
          <w:ilvl w:val="0"/>
          <w:numId w:val="1"/>
        </w:numPr>
        <w:jc w:val="both"/>
        <w:rPr>
          <w:rFonts w:ascii="Calibri" w:eastAsia="Calibri" w:hAnsi="Calibri" w:cs="Calibri"/>
          <w:b/>
          <w:sz w:val="24"/>
          <w:szCs w:val="24"/>
        </w:rPr>
      </w:pPr>
      <w:r>
        <w:rPr>
          <w:rFonts w:ascii="Calibri" w:eastAsia="Calibri" w:hAnsi="Calibri" w:cs="Calibri"/>
          <w:b/>
          <w:sz w:val="24"/>
          <w:szCs w:val="24"/>
        </w:rPr>
        <w:t>Update the GDPR Policy and Privacy Notices</w:t>
      </w:r>
      <w:r>
        <w:rPr>
          <w:rFonts w:ascii="Calibri" w:eastAsia="Calibri" w:hAnsi="Calibri" w:cs="Calibri"/>
          <w:sz w:val="24"/>
          <w:szCs w:val="24"/>
        </w:rPr>
        <w:t xml:space="preserve"> to the latest DPE version or amend existing to include COVID-19 related information. There are now separate Privacy Notices for: Workforce, General and Students and there </w:t>
      </w:r>
      <w:r>
        <w:rPr>
          <w:rFonts w:ascii="Calibri" w:eastAsia="Calibri" w:hAnsi="Calibri" w:cs="Calibri"/>
          <w:sz w:val="24"/>
          <w:szCs w:val="24"/>
        </w:rPr>
        <w:t xml:space="preserve">is now a child friendly notice. Ideally you will now update your documentation to the latest versions as there have been several revisions.  </w:t>
      </w:r>
      <w:r>
        <w:rPr>
          <w:rFonts w:ascii="Calibri" w:eastAsia="Calibri" w:hAnsi="Calibri" w:cs="Calibri"/>
          <w:color w:val="FF0000"/>
          <w:sz w:val="24"/>
          <w:szCs w:val="24"/>
        </w:rPr>
        <w:t>SL to update the Privacy Notices and Policy for the Federation (attached).</w:t>
      </w:r>
    </w:p>
    <w:p w14:paraId="793D58AE" w14:textId="77777777" w:rsidR="001B0B0F" w:rsidRDefault="006A021C">
      <w:pPr>
        <w:numPr>
          <w:ilvl w:val="0"/>
          <w:numId w:val="1"/>
        </w:numPr>
        <w:jc w:val="both"/>
        <w:rPr>
          <w:rFonts w:ascii="Calibri" w:eastAsia="Calibri" w:hAnsi="Calibri" w:cs="Calibri"/>
          <w:color w:val="FF0000"/>
          <w:sz w:val="24"/>
          <w:szCs w:val="24"/>
        </w:rPr>
      </w:pPr>
      <w:r>
        <w:rPr>
          <w:rFonts w:ascii="Calibri" w:eastAsia="Calibri" w:hAnsi="Calibri" w:cs="Calibri"/>
          <w:color w:val="FF0000"/>
          <w:sz w:val="24"/>
          <w:szCs w:val="24"/>
        </w:rPr>
        <w:t xml:space="preserve">Additional documents for Mary to check against: SAR procedure, Data Breach Procedure, Work from Home, Records Management and Data Classification can be obtained from: </w:t>
      </w:r>
      <w:hyperlink r:id="rId8">
        <w:r>
          <w:rPr>
            <w:rFonts w:ascii="Calibri" w:eastAsia="Calibri" w:hAnsi="Calibri" w:cs="Calibri"/>
            <w:color w:val="1155CC"/>
            <w:sz w:val="24"/>
            <w:szCs w:val="24"/>
            <w:u w:val="single"/>
          </w:rPr>
          <w:t>https://dataprotection.education/index.php/best-practice-library/best-practice/commitment-to-compliance</w:t>
        </w:r>
      </w:hyperlink>
      <w:r>
        <w:rPr>
          <w:rFonts w:ascii="Calibri" w:eastAsia="Calibri" w:hAnsi="Calibri" w:cs="Calibri"/>
          <w:color w:val="FF0000"/>
          <w:sz w:val="24"/>
          <w:szCs w:val="24"/>
        </w:rPr>
        <w:t xml:space="preserve"> </w:t>
      </w:r>
    </w:p>
    <w:p w14:paraId="4180166E" w14:textId="648F71EF" w:rsidR="001B0B0F" w:rsidRDefault="006A021C">
      <w:pPr>
        <w:numPr>
          <w:ilvl w:val="0"/>
          <w:numId w:val="1"/>
        </w:numPr>
        <w:jc w:val="both"/>
        <w:rPr>
          <w:rFonts w:ascii="Calibri" w:eastAsia="Calibri" w:hAnsi="Calibri" w:cs="Calibri"/>
          <w:sz w:val="24"/>
          <w:szCs w:val="24"/>
        </w:rPr>
      </w:pPr>
      <w:r>
        <w:rPr>
          <w:rFonts w:ascii="Calibri" w:eastAsia="Calibri" w:hAnsi="Calibri" w:cs="Calibri"/>
          <w:b/>
          <w:sz w:val="24"/>
          <w:szCs w:val="24"/>
        </w:rPr>
        <w:t>Compliance action best practice area/checklist and governor best practice area</w:t>
      </w:r>
      <w:r>
        <w:rPr>
          <w:rFonts w:ascii="Calibri" w:eastAsia="Calibri" w:hAnsi="Calibri" w:cs="Calibri"/>
          <w:sz w:val="24"/>
          <w:szCs w:val="24"/>
        </w:rPr>
        <w:t>: The compliance best practice area/che</w:t>
      </w:r>
      <w:r>
        <w:rPr>
          <w:rFonts w:ascii="Calibri" w:eastAsia="Calibri" w:hAnsi="Calibri" w:cs="Calibri"/>
          <w:sz w:val="24"/>
          <w:szCs w:val="24"/>
        </w:rPr>
        <w:t>cklist can be used to manage progress, print off reports for Trustees/Governors and support consultants during visits/remote consultations. Demonstrated this with Helen. This will also be useful for the new head teacher to check against.</w:t>
      </w:r>
    </w:p>
    <w:p w14:paraId="69E94051" w14:textId="77777777" w:rsidR="001B0B0F" w:rsidRDefault="006A021C">
      <w:pPr>
        <w:numPr>
          <w:ilvl w:val="0"/>
          <w:numId w:val="1"/>
        </w:numPr>
        <w:jc w:val="both"/>
        <w:rPr>
          <w:rFonts w:ascii="Calibri" w:eastAsia="Calibri" w:hAnsi="Calibri" w:cs="Calibri"/>
          <w:b/>
          <w:sz w:val="24"/>
          <w:szCs w:val="24"/>
        </w:rPr>
      </w:pPr>
      <w:r>
        <w:rPr>
          <w:rFonts w:ascii="Calibri" w:eastAsia="Calibri" w:hAnsi="Calibri" w:cs="Calibri"/>
          <w:b/>
          <w:sz w:val="24"/>
          <w:szCs w:val="24"/>
        </w:rPr>
        <w:t>Training:</w:t>
      </w:r>
    </w:p>
    <w:p w14:paraId="345552C5" w14:textId="77777777" w:rsidR="001B0B0F" w:rsidRDefault="006A021C">
      <w:pPr>
        <w:numPr>
          <w:ilvl w:val="0"/>
          <w:numId w:val="3"/>
        </w:numPr>
        <w:jc w:val="both"/>
        <w:rPr>
          <w:rFonts w:ascii="Calibri" w:eastAsia="Calibri" w:hAnsi="Calibri" w:cs="Calibri"/>
          <w:b/>
          <w:sz w:val="24"/>
          <w:szCs w:val="24"/>
        </w:rPr>
      </w:pPr>
      <w:r>
        <w:rPr>
          <w:rFonts w:ascii="Calibri" w:eastAsia="Calibri" w:hAnsi="Calibri" w:cs="Calibri"/>
          <w:b/>
          <w:sz w:val="24"/>
          <w:szCs w:val="24"/>
        </w:rPr>
        <w:t>Review</w:t>
      </w:r>
      <w:r>
        <w:rPr>
          <w:rFonts w:ascii="Calibri" w:eastAsia="Calibri" w:hAnsi="Calibri" w:cs="Calibri"/>
          <w:b/>
          <w:sz w:val="24"/>
          <w:szCs w:val="24"/>
        </w:rPr>
        <w:t xml:space="preserve"> training completed and </w:t>
      </w:r>
      <w:proofErr w:type="gramStart"/>
      <w:r>
        <w:rPr>
          <w:rFonts w:ascii="Calibri" w:eastAsia="Calibri" w:hAnsi="Calibri" w:cs="Calibri"/>
          <w:b/>
          <w:sz w:val="24"/>
          <w:szCs w:val="24"/>
        </w:rPr>
        <w:t>follow</w:t>
      </w:r>
      <w:proofErr w:type="gramEnd"/>
      <w:r>
        <w:rPr>
          <w:rFonts w:ascii="Calibri" w:eastAsia="Calibri" w:hAnsi="Calibri" w:cs="Calibri"/>
          <w:b/>
          <w:sz w:val="24"/>
          <w:szCs w:val="24"/>
        </w:rPr>
        <w:t xml:space="preserve"> up with staff yet to complete training</w:t>
      </w:r>
    </w:p>
    <w:p w14:paraId="48552642" w14:textId="77777777" w:rsidR="001B0B0F" w:rsidRDefault="006A021C">
      <w:pPr>
        <w:numPr>
          <w:ilvl w:val="0"/>
          <w:numId w:val="3"/>
        </w:numPr>
        <w:jc w:val="both"/>
        <w:rPr>
          <w:rFonts w:ascii="Calibri" w:eastAsia="Calibri" w:hAnsi="Calibri" w:cs="Calibri"/>
          <w:b/>
          <w:sz w:val="24"/>
          <w:szCs w:val="24"/>
        </w:rPr>
      </w:pPr>
      <w:r>
        <w:rPr>
          <w:rFonts w:ascii="Calibri" w:eastAsia="Calibri" w:hAnsi="Calibri" w:cs="Calibri"/>
          <w:b/>
          <w:sz w:val="24"/>
          <w:szCs w:val="24"/>
        </w:rPr>
        <w:t xml:space="preserve">Identify any additional training modules that can be completed; GDPR refresher, work away from school and data breaches </w:t>
      </w:r>
      <w:proofErr w:type="spellStart"/>
      <w:proofErr w:type="gramStart"/>
      <w:r>
        <w:rPr>
          <w:rFonts w:ascii="Calibri" w:eastAsia="Calibri" w:hAnsi="Calibri" w:cs="Calibri"/>
          <w:b/>
          <w:sz w:val="24"/>
          <w:szCs w:val="24"/>
        </w:rPr>
        <w:t>etc</w:t>
      </w:r>
      <w:proofErr w:type="spellEnd"/>
      <w:proofErr w:type="gramEnd"/>
    </w:p>
    <w:p w14:paraId="05A991E3" w14:textId="77777777" w:rsidR="001B0B0F" w:rsidRDefault="006A021C">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Publication scheme: </w:t>
      </w:r>
      <w:r>
        <w:rPr>
          <w:rFonts w:ascii="Calibri" w:eastAsia="Calibri" w:hAnsi="Calibri" w:cs="Calibri"/>
          <w:sz w:val="24"/>
          <w:szCs w:val="24"/>
        </w:rPr>
        <w:t xml:space="preserve">The Federation has the option of adopting </w:t>
      </w:r>
      <w:proofErr w:type="spellStart"/>
      <w:r>
        <w:rPr>
          <w:rFonts w:ascii="Calibri" w:eastAsia="Calibri" w:hAnsi="Calibri" w:cs="Calibri"/>
          <w:sz w:val="24"/>
          <w:szCs w:val="24"/>
        </w:rPr>
        <w:t>DPEs</w:t>
      </w:r>
      <w:proofErr w:type="spellEnd"/>
      <w:r>
        <w:rPr>
          <w:rFonts w:ascii="Calibri" w:eastAsia="Calibri" w:hAnsi="Calibri" w:cs="Calibri"/>
          <w:sz w:val="24"/>
          <w:szCs w:val="24"/>
        </w:rPr>
        <w:t xml:space="preserve"> model publication scheme (please refer to section 3).</w:t>
      </w:r>
    </w:p>
    <w:p w14:paraId="554E781F" w14:textId="77777777" w:rsidR="001B0B0F" w:rsidRDefault="006A021C">
      <w:pPr>
        <w:numPr>
          <w:ilvl w:val="0"/>
          <w:numId w:val="1"/>
        </w:numPr>
        <w:jc w:val="both"/>
        <w:rPr>
          <w:rFonts w:ascii="Calibri" w:eastAsia="Calibri" w:hAnsi="Calibri" w:cs="Calibri"/>
          <w:sz w:val="24"/>
          <w:szCs w:val="24"/>
        </w:rPr>
      </w:pPr>
      <w:r>
        <w:rPr>
          <w:rFonts w:ascii="Calibri" w:eastAsia="Calibri" w:hAnsi="Calibri" w:cs="Calibri"/>
          <w:b/>
          <w:sz w:val="24"/>
          <w:szCs w:val="24"/>
        </w:rPr>
        <w:t xml:space="preserve">Internal audit walks: </w:t>
      </w:r>
      <w:r>
        <w:rPr>
          <w:rFonts w:ascii="Calibri" w:eastAsia="Calibri" w:hAnsi="Calibri" w:cs="Calibri"/>
          <w:sz w:val="24"/>
          <w:szCs w:val="24"/>
        </w:rPr>
        <w:t>demonstrated the online walk during the consultation. Suggested the Federation could also complete their own end of day walk and report findings back to staff (raising awarene</w:t>
      </w:r>
      <w:r>
        <w:rPr>
          <w:rFonts w:ascii="Calibri" w:eastAsia="Calibri" w:hAnsi="Calibri" w:cs="Calibri"/>
          <w:sz w:val="24"/>
          <w:szCs w:val="24"/>
        </w:rPr>
        <w:t>ss)</w:t>
      </w:r>
    </w:p>
    <w:p w14:paraId="3E63221E" w14:textId="79480347" w:rsidR="001B0B0F" w:rsidRDefault="006A021C">
      <w:pPr>
        <w:numPr>
          <w:ilvl w:val="0"/>
          <w:numId w:val="1"/>
        </w:numPr>
        <w:jc w:val="both"/>
        <w:rPr>
          <w:rFonts w:ascii="Calibri" w:eastAsia="Calibri" w:hAnsi="Calibri" w:cs="Calibri"/>
          <w:b/>
          <w:sz w:val="24"/>
          <w:szCs w:val="24"/>
        </w:rPr>
      </w:pPr>
      <w:r>
        <w:rPr>
          <w:rFonts w:ascii="Calibri" w:eastAsia="Calibri" w:hAnsi="Calibri" w:cs="Calibri"/>
          <w:b/>
          <w:sz w:val="24"/>
          <w:szCs w:val="24"/>
        </w:rPr>
        <w:t>Record of Processing (</w:t>
      </w:r>
      <w:proofErr w:type="spellStart"/>
      <w:r>
        <w:rPr>
          <w:rFonts w:ascii="Calibri" w:eastAsia="Calibri" w:hAnsi="Calibri" w:cs="Calibri"/>
          <w:b/>
          <w:sz w:val="24"/>
          <w:szCs w:val="24"/>
        </w:rPr>
        <w:t>RoP</w:t>
      </w:r>
      <w:proofErr w:type="spellEnd"/>
      <w:r>
        <w:rPr>
          <w:rFonts w:ascii="Calibri" w:eastAsia="Calibri" w:hAnsi="Calibri" w:cs="Calibri"/>
          <w:b/>
          <w:sz w:val="24"/>
          <w:szCs w:val="24"/>
        </w:rPr>
        <w:t xml:space="preserve">): </w:t>
      </w:r>
      <w:r>
        <w:rPr>
          <w:rFonts w:ascii="Calibri" w:eastAsia="Calibri" w:hAnsi="Calibri" w:cs="Calibri"/>
          <w:sz w:val="24"/>
          <w:szCs w:val="24"/>
        </w:rPr>
        <w:t xml:space="preserve">SL to liaise with </w:t>
      </w:r>
      <w:proofErr w:type="spellStart"/>
      <w:r>
        <w:rPr>
          <w:rFonts w:ascii="Calibri" w:eastAsia="Calibri" w:hAnsi="Calibri" w:cs="Calibri"/>
          <w:sz w:val="24"/>
          <w:szCs w:val="24"/>
        </w:rPr>
        <w:t>LM</w:t>
      </w:r>
      <w:proofErr w:type="spellEnd"/>
      <w:r>
        <w:rPr>
          <w:rFonts w:ascii="Calibri" w:eastAsia="Calibri" w:hAnsi="Calibri" w:cs="Calibri"/>
          <w:sz w:val="24"/>
          <w:szCs w:val="24"/>
        </w:rPr>
        <w:t xml:space="preserve"> and </w:t>
      </w:r>
      <w:proofErr w:type="spellStart"/>
      <w:r>
        <w:rPr>
          <w:rFonts w:ascii="Calibri" w:eastAsia="Calibri" w:hAnsi="Calibri" w:cs="Calibri"/>
          <w:sz w:val="24"/>
          <w:szCs w:val="24"/>
        </w:rPr>
        <w:t>LM</w:t>
      </w:r>
      <w:proofErr w:type="spellEnd"/>
      <w:r>
        <w:rPr>
          <w:rFonts w:ascii="Calibri" w:eastAsia="Calibri" w:hAnsi="Calibri" w:cs="Calibri"/>
          <w:sz w:val="24"/>
          <w:szCs w:val="24"/>
        </w:rPr>
        <w:t xml:space="preserve"> to spend time with admin leads to go over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in more detail (</w:t>
      </w:r>
      <w:proofErr w:type="spellStart"/>
      <w:r>
        <w:rPr>
          <w:rFonts w:ascii="Calibri" w:eastAsia="Calibri" w:hAnsi="Calibri" w:cs="Calibri"/>
          <w:sz w:val="24"/>
          <w:szCs w:val="24"/>
        </w:rPr>
        <w:t>LM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specialises</w:t>
      </w:r>
      <w:proofErr w:type="spellEnd"/>
      <w:r>
        <w:rPr>
          <w:rFonts w:ascii="Calibri" w:eastAsia="Calibri" w:hAnsi="Calibri" w:cs="Calibri"/>
          <w:sz w:val="24"/>
          <w:szCs w:val="24"/>
        </w:rPr>
        <w:t xml:space="preserve"> in operations, </w:t>
      </w:r>
      <w:proofErr w:type="gramStart"/>
      <w:r>
        <w:rPr>
          <w:rFonts w:ascii="Calibri" w:eastAsia="Calibri" w:hAnsi="Calibri" w:cs="Calibri"/>
          <w:sz w:val="24"/>
          <w:szCs w:val="24"/>
        </w:rPr>
        <w:t>finance</w:t>
      </w:r>
      <w:proofErr w:type="gramEnd"/>
      <w:r>
        <w:rPr>
          <w:rFonts w:ascii="Calibri" w:eastAsia="Calibri" w:hAnsi="Calibri" w:cs="Calibri"/>
          <w:sz w:val="24"/>
          <w:szCs w:val="24"/>
        </w:rPr>
        <w:t xml:space="preserve"> and HR</w:t>
      </w:r>
      <w:r>
        <w:rPr>
          <w:rFonts w:ascii="Calibri" w:eastAsia="Calibri" w:hAnsi="Calibri" w:cs="Calibri"/>
          <w:sz w:val="24"/>
          <w:szCs w:val="24"/>
        </w:rPr>
        <w:t xml:space="preserve">). </w:t>
      </w:r>
      <w:r>
        <w:rPr>
          <w:rFonts w:ascii="Calibri" w:eastAsia="Calibri" w:hAnsi="Calibri" w:cs="Calibri"/>
          <w:color w:val="FF0000"/>
          <w:sz w:val="24"/>
          <w:szCs w:val="24"/>
        </w:rPr>
        <w:t xml:space="preserve">MD to inform SL of </w:t>
      </w:r>
      <w:r>
        <w:rPr>
          <w:rFonts w:ascii="Calibri" w:eastAsia="Calibri" w:hAnsi="Calibri" w:cs="Calibri"/>
          <w:color w:val="FF0000"/>
          <w:sz w:val="24"/>
          <w:szCs w:val="24"/>
        </w:rPr>
        <w:t>staff members and email addresses</w:t>
      </w:r>
      <w:r>
        <w:rPr>
          <w:rFonts w:ascii="Calibri" w:eastAsia="Calibri" w:hAnsi="Calibri" w:cs="Calibri"/>
          <w:color w:val="FF0000"/>
          <w:sz w:val="24"/>
          <w:szCs w:val="24"/>
        </w:rPr>
        <w:t xml:space="preserve"> to allow </w:t>
      </w:r>
      <w:proofErr w:type="spellStart"/>
      <w:r>
        <w:rPr>
          <w:rFonts w:ascii="Calibri" w:eastAsia="Calibri" w:hAnsi="Calibri" w:cs="Calibri"/>
          <w:color w:val="FF0000"/>
          <w:sz w:val="24"/>
          <w:szCs w:val="24"/>
        </w:rPr>
        <w:t>LM</w:t>
      </w:r>
      <w:proofErr w:type="spellEnd"/>
      <w:r>
        <w:rPr>
          <w:rFonts w:ascii="Calibri" w:eastAsia="Calibri" w:hAnsi="Calibri" w:cs="Calibri"/>
          <w:color w:val="FF0000"/>
          <w:sz w:val="24"/>
          <w:szCs w:val="24"/>
        </w:rPr>
        <w:t xml:space="preserve"> to arrange this.</w:t>
      </w:r>
      <w:r>
        <w:rPr>
          <w:rFonts w:ascii="Calibri" w:eastAsia="Calibri" w:hAnsi="Calibri" w:cs="Calibri"/>
          <w:color w:val="FF0000"/>
          <w:sz w:val="24"/>
          <w:szCs w:val="24"/>
        </w:rPr>
        <w:t xml:space="preserve"> </w:t>
      </w:r>
      <w:r>
        <w:rPr>
          <w:rFonts w:ascii="Calibri" w:eastAsia="Calibri" w:hAnsi="Calibri" w:cs="Calibri"/>
          <w:color w:val="FF0000"/>
          <w:sz w:val="24"/>
          <w:szCs w:val="24"/>
        </w:rPr>
        <w:t>The following dates have been provisionally booked:</w:t>
      </w:r>
    </w:p>
    <w:p w14:paraId="7C209F1A" w14:textId="77777777" w:rsidR="001B0B0F" w:rsidRDefault="006A021C">
      <w:pPr>
        <w:ind w:left="720"/>
        <w:jc w:val="both"/>
        <w:rPr>
          <w:rFonts w:ascii="Calibri" w:eastAsia="Calibri" w:hAnsi="Calibri" w:cs="Calibri"/>
          <w:color w:val="FF0000"/>
          <w:sz w:val="24"/>
          <w:szCs w:val="24"/>
        </w:rPr>
      </w:pPr>
      <w:r>
        <w:rPr>
          <w:rFonts w:ascii="Calibri" w:eastAsia="Calibri" w:hAnsi="Calibri" w:cs="Calibri"/>
          <w:color w:val="FF0000"/>
          <w:sz w:val="24"/>
          <w:szCs w:val="24"/>
        </w:rPr>
        <w:t>27 April - 10.00-11.30</w:t>
      </w:r>
    </w:p>
    <w:p w14:paraId="0A84B038" w14:textId="77777777" w:rsidR="001B0B0F" w:rsidRDefault="006A021C">
      <w:pPr>
        <w:ind w:left="720"/>
        <w:jc w:val="both"/>
        <w:rPr>
          <w:rFonts w:ascii="Calibri" w:eastAsia="Calibri" w:hAnsi="Calibri" w:cs="Calibri"/>
          <w:sz w:val="24"/>
          <w:szCs w:val="24"/>
        </w:rPr>
      </w:pPr>
      <w:r>
        <w:rPr>
          <w:rFonts w:ascii="Calibri" w:eastAsia="Calibri" w:hAnsi="Calibri" w:cs="Calibri"/>
          <w:color w:val="FF0000"/>
          <w:sz w:val="24"/>
          <w:szCs w:val="24"/>
        </w:rPr>
        <w:t>4 May - 10.00 - 11.30</w:t>
      </w:r>
    </w:p>
    <w:p w14:paraId="1F690CEB" w14:textId="5AB2C14A" w:rsidR="001B0B0F" w:rsidRDefault="006A021C">
      <w:pPr>
        <w:numPr>
          <w:ilvl w:val="0"/>
          <w:numId w:val="1"/>
        </w:numPr>
        <w:jc w:val="both"/>
        <w:rPr>
          <w:rFonts w:ascii="Calibri" w:eastAsia="Calibri" w:hAnsi="Calibri" w:cs="Calibri"/>
          <w:b/>
          <w:sz w:val="24"/>
          <w:szCs w:val="24"/>
        </w:rPr>
      </w:pPr>
      <w:r>
        <w:rPr>
          <w:rFonts w:ascii="Calibri" w:eastAsia="Calibri" w:hAnsi="Calibri" w:cs="Calibri"/>
          <w:sz w:val="24"/>
          <w:szCs w:val="24"/>
        </w:rPr>
        <w:t xml:space="preserve">Q and </w:t>
      </w:r>
      <w:proofErr w:type="gramStart"/>
      <w:r>
        <w:rPr>
          <w:rFonts w:ascii="Calibri" w:eastAsia="Calibri" w:hAnsi="Calibri" w:cs="Calibri"/>
          <w:sz w:val="24"/>
          <w:szCs w:val="24"/>
        </w:rPr>
        <w:t>As</w:t>
      </w:r>
      <w:proofErr w:type="gramEnd"/>
      <w:r>
        <w:rPr>
          <w:rFonts w:ascii="Calibri" w:eastAsia="Calibri" w:hAnsi="Calibri" w:cs="Calibri"/>
          <w:sz w:val="24"/>
          <w:szCs w:val="24"/>
        </w:rPr>
        <w:t xml:space="preserve">: MD had a query relating to when the DPE contract ended. </w:t>
      </w:r>
      <w:r>
        <w:rPr>
          <w:rFonts w:ascii="Calibri" w:eastAsia="Calibri" w:hAnsi="Calibri" w:cs="Calibri"/>
          <w:b/>
          <w:sz w:val="24"/>
          <w:szCs w:val="24"/>
        </w:rPr>
        <w:t xml:space="preserve">Contract </w:t>
      </w:r>
      <w:r>
        <w:rPr>
          <w:rFonts w:ascii="Calibri" w:eastAsia="Calibri" w:hAnsi="Calibri" w:cs="Calibri"/>
          <w:b/>
          <w:sz w:val="24"/>
          <w:szCs w:val="24"/>
        </w:rPr>
        <w:t>end date is: 20.05.22</w:t>
      </w:r>
      <w:r w:rsidR="00906BB9">
        <w:rPr>
          <w:rFonts w:ascii="Calibri" w:eastAsia="Calibri" w:hAnsi="Calibri" w:cs="Calibri"/>
          <w:b/>
          <w:sz w:val="24"/>
          <w:szCs w:val="24"/>
        </w:rPr>
        <w:t>.</w:t>
      </w:r>
    </w:p>
    <w:p w14:paraId="1C214C2B" w14:textId="553FD581" w:rsidR="001B0B0F" w:rsidRPr="00906BB9" w:rsidRDefault="006A021C">
      <w:pPr>
        <w:ind w:left="720"/>
        <w:jc w:val="both"/>
        <w:rPr>
          <w:rFonts w:ascii="Calibri" w:eastAsia="Calibri" w:hAnsi="Calibri" w:cs="Calibri"/>
          <w:b/>
          <w:sz w:val="24"/>
          <w:szCs w:val="24"/>
          <w:u w:val="single"/>
        </w:rPr>
      </w:pPr>
      <w:r>
        <w:rPr>
          <w:rFonts w:ascii="Calibri" w:eastAsia="Calibri" w:hAnsi="Calibri" w:cs="Calibri"/>
          <w:b/>
          <w:sz w:val="24"/>
          <w:szCs w:val="24"/>
        </w:rPr>
        <w:t>MD</w:t>
      </w:r>
      <w:r w:rsidR="00906BB9">
        <w:rPr>
          <w:rFonts w:ascii="Calibri" w:eastAsia="Calibri" w:hAnsi="Calibri" w:cs="Calibri"/>
          <w:b/>
          <w:sz w:val="24"/>
          <w:szCs w:val="24"/>
        </w:rPr>
        <w:t xml:space="preserve"> is</w:t>
      </w:r>
      <w:r>
        <w:rPr>
          <w:rFonts w:ascii="Calibri" w:eastAsia="Calibri" w:hAnsi="Calibri" w:cs="Calibri"/>
          <w:b/>
          <w:sz w:val="24"/>
          <w:szCs w:val="24"/>
        </w:rPr>
        <w:t xml:space="preserve"> retiring and would like a date confirmed for the Autumn term with the new headteacher: </w:t>
      </w:r>
      <w:r w:rsidRPr="00906BB9">
        <w:rPr>
          <w:rFonts w:ascii="Calibri" w:eastAsia="Calibri" w:hAnsi="Calibri" w:cs="Calibri"/>
          <w:b/>
          <w:sz w:val="24"/>
          <w:szCs w:val="24"/>
          <w:u w:val="single"/>
        </w:rPr>
        <w:t>6 October 2021 provisionally booked.</w:t>
      </w:r>
    </w:p>
    <w:p w14:paraId="4473DB52" w14:textId="77777777" w:rsidR="001B0B0F" w:rsidRDefault="006A021C">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 detailed below:</w:t>
      </w:r>
    </w:p>
    <w:p w14:paraId="2BB1C07E" w14:textId="77777777" w:rsidR="001B0B0F" w:rsidRDefault="001B0B0F">
      <w:pPr>
        <w:rPr>
          <w:rFonts w:ascii="Calibri" w:eastAsia="Calibri" w:hAnsi="Calibri" w:cs="Calibri"/>
          <w:b/>
          <w:color w:val="0591B4"/>
          <w:sz w:val="32"/>
          <w:szCs w:val="32"/>
        </w:rPr>
      </w:pPr>
    </w:p>
    <w:p w14:paraId="5D32643C" w14:textId="77777777" w:rsidR="001B0B0F" w:rsidRDefault="001B0B0F">
      <w:pPr>
        <w:rPr>
          <w:rFonts w:ascii="Calibri" w:eastAsia="Calibri" w:hAnsi="Calibri" w:cs="Calibri"/>
          <w:b/>
          <w:color w:val="0591B4"/>
          <w:sz w:val="32"/>
          <w:szCs w:val="32"/>
        </w:rPr>
      </w:pPr>
    </w:p>
    <w:p w14:paraId="713C300E" w14:textId="77777777" w:rsidR="001B0B0F" w:rsidRDefault="006A021C">
      <w:pPr>
        <w:rPr>
          <w:rFonts w:ascii="Calibri" w:eastAsia="Calibri" w:hAnsi="Calibri" w:cs="Calibri"/>
          <w:b/>
          <w:color w:val="0591B4"/>
          <w:sz w:val="32"/>
          <w:szCs w:val="32"/>
        </w:rPr>
      </w:pPr>
      <w:r>
        <w:rPr>
          <w:rFonts w:ascii="Calibri" w:eastAsia="Calibri" w:hAnsi="Calibri" w:cs="Calibri"/>
          <w:b/>
          <w:color w:val="0591B4"/>
          <w:sz w:val="32"/>
          <w:szCs w:val="32"/>
        </w:rPr>
        <w:lastRenderedPageBreak/>
        <w:t>1. GDPR policy update and Privacy notice updates</w:t>
      </w:r>
    </w:p>
    <w:p w14:paraId="2D0C7642"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latest GDPR policy and Privacy Notices can be located from the compliance best practice area: </w:t>
      </w:r>
      <w:hyperlink r:id="rId9">
        <w:r>
          <w:rPr>
            <w:rFonts w:ascii="Calibri" w:eastAsia="Calibri" w:hAnsi="Calibri" w:cs="Calibri"/>
            <w:color w:val="0563C1"/>
            <w:sz w:val="24"/>
            <w:szCs w:val="24"/>
            <w:u w:val="single"/>
          </w:rPr>
          <w:t>https://dataprotection.education/index.php/best-practice-library/best-practice/commitment-to-compliance</w:t>
        </w:r>
      </w:hyperlink>
      <w:r>
        <w:rPr>
          <w:rFonts w:ascii="Calibri" w:eastAsia="Calibri" w:hAnsi="Calibri" w:cs="Calibri"/>
          <w:color w:val="595959"/>
          <w:sz w:val="24"/>
          <w:szCs w:val="24"/>
        </w:rPr>
        <w:t xml:space="preserve"> </w:t>
      </w:r>
    </w:p>
    <w:p w14:paraId="52218E7A"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Regardless of adopting the very latest documents your current privacy notice and policy should now include sections for COVID-19  - refer</w:t>
      </w:r>
      <w:r>
        <w:rPr>
          <w:rFonts w:ascii="Calibri" w:eastAsia="Calibri" w:hAnsi="Calibri" w:cs="Calibri"/>
          <w:color w:val="595959"/>
          <w:sz w:val="24"/>
          <w:szCs w:val="24"/>
        </w:rPr>
        <w:t xml:space="preserve"> to the July 17 update: </w:t>
      </w:r>
      <w:hyperlink r:id="rId10">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6C63C99E" w14:textId="77777777" w:rsidR="001B0B0F" w:rsidRDefault="006A021C">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2-3. Compliance checklist and </w:t>
      </w:r>
      <w:r>
        <w:rPr>
          <w:rFonts w:ascii="Calibri" w:eastAsia="Calibri" w:hAnsi="Calibri" w:cs="Calibri"/>
          <w:b/>
          <w:color w:val="0591B4"/>
          <w:sz w:val="32"/>
          <w:szCs w:val="32"/>
        </w:rPr>
        <w:t xml:space="preserve">governance   </w:t>
      </w:r>
    </w:p>
    <w:p w14:paraId="4B3A906F"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ongoing compliance, supporting consultants during remote sessions and for monitoring with governors. Reports can be printed from the compliance checklist: </w:t>
      </w:r>
      <w:hyperlink r:id="rId11">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w:t>
      </w:r>
      <w:r>
        <w:rPr>
          <w:rFonts w:ascii="Calibri" w:eastAsia="Calibri" w:hAnsi="Calibri" w:cs="Calibri"/>
          <w:color w:val="595959"/>
          <w:sz w:val="24"/>
          <w:szCs w:val="24"/>
        </w:rPr>
        <w:t xml:space="preserve">d useful. </w:t>
      </w:r>
    </w:p>
    <w:p w14:paraId="20C3CAAB"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In addition, the governor best practice and terms of reference can also be used to support compliance if needed: </w:t>
      </w:r>
      <w:hyperlink r:id="rId12">
        <w:r>
          <w:rPr>
            <w:rFonts w:ascii="Calibri" w:eastAsia="Calibri" w:hAnsi="Calibri" w:cs="Calibri"/>
            <w:color w:val="1155CC"/>
            <w:sz w:val="24"/>
            <w:szCs w:val="24"/>
            <w:u w:val="single"/>
          </w:rPr>
          <w:t>https://kb.d</w:t>
        </w:r>
        <w:r>
          <w:rPr>
            <w:rFonts w:ascii="Calibri" w:eastAsia="Calibri" w:hAnsi="Calibri" w:cs="Calibri"/>
            <w:color w:val="1155CC"/>
            <w:sz w:val="24"/>
            <w:szCs w:val="24"/>
            <w:u w:val="single"/>
          </w:rPr>
          <w:t>ataprotection.education/index.php/best-practice-library/best-practice/governors-and-data</w:t>
        </w:r>
      </w:hyperlink>
      <w:r>
        <w:rPr>
          <w:rFonts w:ascii="Calibri" w:eastAsia="Calibri" w:hAnsi="Calibri" w:cs="Calibri"/>
          <w:color w:val="595959"/>
          <w:sz w:val="24"/>
          <w:szCs w:val="24"/>
        </w:rPr>
        <w:t xml:space="preserve"> </w:t>
      </w:r>
    </w:p>
    <w:p w14:paraId="1242BB85" w14:textId="77777777" w:rsidR="001B0B0F" w:rsidRDefault="006A021C">
      <w:pPr>
        <w:rPr>
          <w:rFonts w:ascii="Calibri" w:eastAsia="Calibri" w:hAnsi="Calibri" w:cs="Calibri"/>
          <w:b/>
          <w:color w:val="0591B4"/>
          <w:sz w:val="32"/>
          <w:szCs w:val="32"/>
        </w:rPr>
      </w:pPr>
      <w:r>
        <w:rPr>
          <w:rFonts w:ascii="Calibri" w:eastAsia="Calibri" w:hAnsi="Calibri" w:cs="Calibri"/>
          <w:b/>
          <w:color w:val="0591B4"/>
          <w:sz w:val="32"/>
          <w:szCs w:val="32"/>
        </w:rPr>
        <w:t>4. Setting staff up for e-learning training and mini training guides</w:t>
      </w:r>
    </w:p>
    <w:p w14:paraId="2520960A"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reviewing training </w:t>
      </w:r>
      <w:proofErr w:type="gramStart"/>
      <w:r>
        <w:rPr>
          <w:rFonts w:ascii="Calibri" w:eastAsia="Calibri" w:hAnsi="Calibri" w:cs="Calibri"/>
          <w:color w:val="595959"/>
          <w:sz w:val="24"/>
          <w:szCs w:val="24"/>
        </w:rPr>
        <w:t>i.e.</w:t>
      </w:r>
      <w:proofErr w:type="gramEnd"/>
      <w:r>
        <w:rPr>
          <w:rFonts w:ascii="Calibri" w:eastAsia="Calibri" w:hAnsi="Calibri" w:cs="Calibri"/>
          <w:color w:val="595959"/>
          <w:sz w:val="24"/>
          <w:szCs w:val="24"/>
        </w:rPr>
        <w:t xml:space="preserve"> GDPR refresher, data breaches and work away from school</w:t>
      </w:r>
      <w:r>
        <w:rPr>
          <w:rFonts w:ascii="Calibri" w:eastAsia="Calibri" w:hAnsi="Calibri" w:cs="Calibri"/>
          <w:color w:val="595959"/>
          <w:sz w:val="24"/>
          <w:szCs w:val="24"/>
        </w:rPr>
        <w:t xml:space="preserve">. You can check which staff have or have not completed the various modules by selecting the reports from your dashboard:  </w:t>
      </w:r>
      <w:hyperlink r:id="rId13">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w:t>
        </w:r>
        <w:proofErr w:type="spellStart"/>
        <w:r>
          <w:rPr>
            <w:rFonts w:ascii="Calibri" w:eastAsia="Calibri" w:hAnsi="Calibri" w:cs="Calibri"/>
            <w:color w:val="1155CC"/>
            <w:sz w:val="24"/>
            <w:szCs w:val="24"/>
            <w:u w:val="single"/>
          </w:rPr>
          <w:t>manager-reports?view</w:t>
        </w:r>
        <w:proofErr w:type="spellEnd"/>
        <w:r>
          <w:rPr>
            <w:rFonts w:ascii="Calibri" w:eastAsia="Calibri" w:hAnsi="Calibri" w:cs="Calibri"/>
            <w:color w:val="1155CC"/>
            <w:sz w:val="24"/>
            <w:szCs w:val="24"/>
            <w:u w:val="single"/>
          </w:rPr>
          <w:t>=reports</w:t>
        </w:r>
      </w:hyperlink>
      <w:r>
        <w:rPr>
          <w:rFonts w:ascii="Calibri" w:eastAsia="Calibri" w:hAnsi="Calibri" w:cs="Calibri"/>
          <w:color w:val="595959"/>
          <w:sz w:val="24"/>
          <w:szCs w:val="24"/>
        </w:rPr>
        <w:t xml:space="preserve"> </w:t>
      </w:r>
    </w:p>
    <w:p w14:paraId="6E28C45D"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Users can be set up on the system by adding individually or importing as a group: </w:t>
      </w:r>
      <w:hyperlink r:id="rId14">
        <w:r>
          <w:rPr>
            <w:rFonts w:ascii="Calibri" w:eastAsia="Calibri" w:hAnsi="Calibri" w:cs="Calibri"/>
            <w:color w:val="0563C1"/>
            <w:sz w:val="24"/>
            <w:szCs w:val="24"/>
            <w:u w:val="single"/>
          </w:rPr>
          <w:t>https://</w:t>
        </w:r>
        <w:proofErr w:type="spellStart"/>
        <w:r>
          <w:rPr>
            <w:rFonts w:ascii="Calibri" w:eastAsia="Calibri" w:hAnsi="Calibri" w:cs="Calibri"/>
            <w:color w:val="0563C1"/>
            <w:sz w:val="24"/>
            <w:szCs w:val="24"/>
            <w:u w:val="single"/>
          </w:rPr>
          <w:t>dataprotection.education</w:t>
        </w:r>
        <w:proofErr w:type="spellEnd"/>
        <w:r>
          <w:rPr>
            <w:rFonts w:ascii="Calibri" w:eastAsia="Calibri" w:hAnsi="Calibri" w:cs="Calibri"/>
            <w:color w:val="0563C1"/>
            <w:sz w:val="24"/>
            <w:szCs w:val="24"/>
            <w:u w:val="single"/>
          </w:rPr>
          <w:t>/student-list/users</w:t>
        </w:r>
      </w:hyperlink>
      <w:r>
        <w:rPr>
          <w:rFonts w:ascii="Calibri" w:eastAsia="Calibri" w:hAnsi="Calibri" w:cs="Calibri"/>
          <w:color w:val="595959"/>
          <w:sz w:val="24"/>
          <w:szCs w:val="24"/>
        </w:rPr>
        <w:t xml:space="preserve">)  </w:t>
      </w:r>
      <w:proofErr w:type="spellStart"/>
      <w:r>
        <w:rPr>
          <w:rFonts w:ascii="Calibri" w:eastAsia="Calibri" w:hAnsi="Calibri" w:cs="Calibri"/>
          <w:color w:val="595959"/>
          <w:sz w:val="24"/>
          <w:szCs w:val="24"/>
        </w:rPr>
        <w:t>Kalina</w:t>
      </w:r>
      <w:proofErr w:type="spellEnd"/>
      <w:r>
        <w:rPr>
          <w:rFonts w:ascii="Calibri" w:eastAsia="Calibri" w:hAnsi="Calibri" w:cs="Calibri"/>
          <w:color w:val="595959"/>
          <w:sz w:val="24"/>
          <w:szCs w:val="24"/>
        </w:rPr>
        <w:t xml:space="preserve"> at DPE (client support) is here to help you and can be contacted for support at: </w:t>
      </w:r>
      <w:proofErr w:type="spellStart"/>
      <w:r>
        <w:rPr>
          <w:rFonts w:ascii="Calibri" w:eastAsia="Calibri" w:hAnsi="Calibri" w:cs="Calibri"/>
          <w:color w:val="595959"/>
          <w:sz w:val="24"/>
          <w:szCs w:val="24"/>
        </w:rPr>
        <w:t>kalina.voyvodova@dataprotection.education</w:t>
      </w:r>
      <w:proofErr w:type="spellEnd"/>
      <w:r>
        <w:rPr>
          <w:rFonts w:ascii="Calibri" w:eastAsia="Calibri" w:hAnsi="Calibri" w:cs="Calibri"/>
          <w:color w:val="595959"/>
          <w:sz w:val="24"/>
          <w:szCs w:val="24"/>
        </w:rPr>
        <w:t xml:space="preserve">  </w:t>
      </w:r>
    </w:p>
    <w:p w14:paraId="2D020F9C" w14:textId="77777777" w:rsidR="001B0B0F" w:rsidRDefault="006A021C">
      <w:pPr>
        <w:spacing w:after="120"/>
        <w:rPr>
          <w:rFonts w:ascii="Calibri" w:eastAsia="Calibri" w:hAnsi="Calibri" w:cs="Calibri"/>
          <w:b/>
          <w:color w:val="0591B4"/>
          <w:sz w:val="32"/>
          <w:szCs w:val="32"/>
        </w:rPr>
      </w:pPr>
      <w:r>
        <w:rPr>
          <w:rFonts w:ascii="Calibri" w:eastAsia="Calibri" w:hAnsi="Calibri" w:cs="Calibri"/>
          <w:b/>
          <w:color w:val="595959"/>
          <w:sz w:val="24"/>
          <w:szCs w:val="24"/>
        </w:rPr>
        <w:t>All staff should now have completed some form of data protection train</w:t>
      </w:r>
      <w:r>
        <w:rPr>
          <w:rFonts w:ascii="Calibri" w:eastAsia="Calibri" w:hAnsi="Calibri" w:cs="Calibri"/>
          <w:b/>
          <w:color w:val="595959"/>
          <w:sz w:val="24"/>
          <w:szCs w:val="24"/>
        </w:rPr>
        <w:t>ing.</w:t>
      </w:r>
    </w:p>
    <w:p w14:paraId="431D95D5"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The dashboard now has mini training videos for many of the main areas, including data breaches and SARS. There is also a data breach and SAR best practice area where all the information is now situated.</w:t>
      </w:r>
    </w:p>
    <w:p w14:paraId="6109F521" w14:textId="77777777" w:rsidR="001B0B0F" w:rsidRDefault="006A021C">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5. Publication scheme </w:t>
      </w:r>
    </w:p>
    <w:p w14:paraId="560DCA47" w14:textId="77777777" w:rsidR="001B0B0F" w:rsidRDefault="006A021C">
      <w:pPr>
        <w:spacing w:after="120"/>
        <w:rPr>
          <w:rFonts w:ascii="Calibri" w:eastAsia="Calibri" w:hAnsi="Calibri" w:cs="Calibri"/>
          <w:b/>
          <w:color w:val="595959"/>
          <w:sz w:val="24"/>
          <w:szCs w:val="24"/>
        </w:rPr>
      </w:pPr>
      <w:r>
        <w:rPr>
          <w:rFonts w:ascii="Calibri" w:eastAsia="Calibri" w:hAnsi="Calibri" w:cs="Calibri"/>
          <w:color w:val="595959"/>
          <w:sz w:val="24"/>
          <w:szCs w:val="24"/>
        </w:rPr>
        <w:t>The publication scheme ha</w:t>
      </w:r>
      <w:r>
        <w:rPr>
          <w:rFonts w:ascii="Calibri" w:eastAsia="Calibri" w:hAnsi="Calibri" w:cs="Calibri"/>
          <w:color w:val="595959"/>
          <w:sz w:val="24"/>
          <w:szCs w:val="24"/>
        </w:rPr>
        <w:t xml:space="preserve">s now been updated and as a public authority you should have one.  </w:t>
      </w:r>
      <w:r>
        <w:rPr>
          <w:rFonts w:ascii="Calibri" w:eastAsia="Calibri" w:hAnsi="Calibri" w:cs="Calibri"/>
          <w:b/>
          <w:color w:val="595959"/>
          <w:sz w:val="24"/>
          <w:szCs w:val="24"/>
        </w:rPr>
        <w:t xml:space="preserve">The updated guidance can be obtained from: </w:t>
      </w:r>
      <w:hyperlink r:id="rId15">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6A15F715" w14:textId="77777777" w:rsidR="001B0B0F" w:rsidRDefault="006A021C">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6">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67B4D30B" w14:textId="77777777" w:rsidR="001B0B0F" w:rsidRDefault="006A021C">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6. Audit walk </w:t>
      </w:r>
    </w:p>
    <w:p w14:paraId="1F1134D9"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As we are unable to visit at present it is worth considering complet</w:t>
      </w:r>
      <w:r>
        <w:rPr>
          <w:rFonts w:ascii="Calibri" w:eastAsia="Calibri" w:hAnsi="Calibri" w:cs="Calibri"/>
          <w:color w:val="595959"/>
          <w:sz w:val="24"/>
          <w:szCs w:val="24"/>
        </w:rPr>
        <w:t xml:space="preserve">ing your own internal walk. You can check against previous report findings to identify improvements or areas that still need to be improved. You can also use the best practice guides to support the process: </w:t>
      </w:r>
      <w:hyperlink r:id="rId17">
        <w:r>
          <w:rPr>
            <w:rFonts w:ascii="Calibri" w:eastAsia="Calibri" w:hAnsi="Calibri" w:cs="Calibri"/>
            <w:color w:val="1155CC"/>
            <w:sz w:val="24"/>
            <w:szCs w:val="24"/>
            <w:u w:val="single"/>
          </w:rPr>
          <w:t>https://kb.dataprotection.education/best-practice-library/documents/drip-feeds/57-dpe-quick-reference-guid</w:t>
        </w:r>
      </w:hyperlink>
    </w:p>
    <w:p w14:paraId="7225393A" w14:textId="77777777" w:rsidR="001B0B0F" w:rsidRDefault="006A021C">
      <w:pPr>
        <w:spacing w:after="120"/>
        <w:rPr>
          <w:rFonts w:ascii="Calibri" w:eastAsia="Calibri" w:hAnsi="Calibri" w:cs="Calibri"/>
          <w:color w:val="595959"/>
          <w:sz w:val="24"/>
          <w:szCs w:val="24"/>
        </w:rPr>
      </w:pPr>
      <w:r>
        <w:rPr>
          <w:rFonts w:ascii="Calibri" w:eastAsia="Calibri" w:hAnsi="Calibri" w:cs="Calibri"/>
          <w:b/>
          <w:sz w:val="24"/>
          <w:szCs w:val="24"/>
        </w:rPr>
        <w:t>DPE will also be providi</w:t>
      </w:r>
      <w:r>
        <w:rPr>
          <w:rFonts w:ascii="Calibri" w:eastAsia="Calibri" w:hAnsi="Calibri" w:cs="Calibri"/>
          <w:b/>
          <w:sz w:val="24"/>
          <w:szCs w:val="24"/>
        </w:rPr>
        <w:t>ng a live online audit walk that will be available shortly (demonstrated during the consultation).</w:t>
      </w:r>
    </w:p>
    <w:p w14:paraId="19116274" w14:textId="77777777" w:rsidR="001B0B0F" w:rsidRDefault="006A021C">
      <w:pPr>
        <w:spacing w:after="120"/>
        <w:rPr>
          <w:rFonts w:ascii="Calibri" w:eastAsia="Calibri" w:hAnsi="Calibri" w:cs="Calibri"/>
          <w:b/>
          <w:color w:val="0591B4"/>
          <w:sz w:val="32"/>
          <w:szCs w:val="32"/>
        </w:rPr>
      </w:pPr>
      <w:r>
        <w:rPr>
          <w:rFonts w:ascii="Calibri" w:eastAsia="Calibri" w:hAnsi="Calibri" w:cs="Calibri"/>
          <w:b/>
          <w:color w:val="0591B4"/>
          <w:sz w:val="32"/>
          <w:szCs w:val="32"/>
        </w:rPr>
        <w:lastRenderedPageBreak/>
        <w:t>7. 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w:t>
      </w:r>
    </w:p>
    <w:p w14:paraId="4AFAC3B2"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will start to be used for your record of processing. </w:t>
      </w:r>
      <w:proofErr w:type="spellStart"/>
      <w:r>
        <w:rPr>
          <w:rFonts w:ascii="Calibri" w:eastAsia="Calibri" w:hAnsi="Calibri" w:cs="Calibri"/>
          <w:color w:val="595959"/>
          <w:sz w:val="24"/>
          <w:szCs w:val="24"/>
        </w:rPr>
        <w:t>DPEs</w:t>
      </w:r>
      <w:proofErr w:type="spellEnd"/>
      <w:r>
        <w:rPr>
          <w:rFonts w:ascii="Calibri" w:eastAsia="Calibri" w:hAnsi="Calibri" w:cs="Calibri"/>
          <w:color w:val="595959"/>
          <w:sz w:val="24"/>
          <w:szCs w:val="24"/>
        </w:rPr>
        <w:t xml:space="preserve"> methodology for rolling out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found here: </w:t>
      </w:r>
      <w:hyperlink r:id="rId18">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t>
      </w:r>
      <w:r>
        <w:rPr>
          <w:rFonts w:ascii="Calibri" w:eastAsia="Calibri" w:hAnsi="Calibri" w:cs="Calibri"/>
          <w:color w:val="595959"/>
          <w:sz w:val="24"/>
          <w:szCs w:val="24"/>
        </w:rPr>
        <w:t>can be used for risk assessments (</w:t>
      </w:r>
      <w:proofErr w:type="spellStart"/>
      <w:r>
        <w:rPr>
          <w:rFonts w:ascii="Calibri" w:eastAsia="Calibri" w:hAnsi="Calibri" w:cs="Calibri"/>
          <w:color w:val="595959"/>
          <w:sz w:val="24"/>
          <w:szCs w:val="24"/>
        </w:rPr>
        <w:t>DPIAs</w:t>
      </w:r>
      <w:proofErr w:type="spellEnd"/>
      <w:r>
        <w:rPr>
          <w:rFonts w:ascii="Calibri" w:eastAsia="Calibri" w:hAnsi="Calibri" w:cs="Calibri"/>
          <w:color w:val="595959"/>
          <w:sz w:val="24"/>
          <w:szCs w:val="24"/>
        </w:rPr>
        <w:t xml:space="preserve">), especially where new technologies are being introduced. Always email: </w:t>
      </w:r>
      <w:proofErr w:type="spellStart"/>
      <w:r>
        <w:rPr>
          <w:rFonts w:ascii="Calibri" w:eastAsia="Calibri" w:hAnsi="Calibri" w:cs="Calibri"/>
          <w:color w:val="595959"/>
          <w:sz w:val="24"/>
          <w:szCs w:val="24"/>
        </w:rPr>
        <w:t>dpo@dataprotection.education</w:t>
      </w:r>
      <w:proofErr w:type="spellEnd"/>
      <w:r>
        <w:rPr>
          <w:rFonts w:ascii="Calibri" w:eastAsia="Calibri" w:hAnsi="Calibri" w:cs="Calibri"/>
          <w:color w:val="595959"/>
          <w:sz w:val="24"/>
          <w:szCs w:val="24"/>
        </w:rPr>
        <w:t xml:space="preserve"> for support if needed.  </w:t>
      </w:r>
    </w:p>
    <w:p w14:paraId="11326F6A" w14:textId="77777777" w:rsidR="001B0B0F" w:rsidRDefault="006A021C">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56E8F0A0" w14:textId="77777777" w:rsidR="001B0B0F" w:rsidRDefault="006A021C">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We will work with you and demonstrate how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can be adapted to reflect yo</w:t>
      </w:r>
      <w:r>
        <w:rPr>
          <w:rFonts w:ascii="Calibri" w:eastAsia="Calibri" w:hAnsi="Calibri" w:cs="Calibri"/>
          <w:color w:val="595959"/>
          <w:sz w:val="24"/>
          <w:szCs w:val="24"/>
        </w:rPr>
        <w:t xml:space="preserve">ur school’s individual practice. </w:t>
      </w:r>
    </w:p>
    <w:p w14:paraId="41641007" w14:textId="77777777" w:rsidR="001B0B0F" w:rsidRDefault="006A021C">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tool with a brief overview of the generic process relating to financial/management of the school. </w:t>
      </w:r>
    </w:p>
    <w:p w14:paraId="36C7B795" w14:textId="77777777" w:rsidR="001B0B0F" w:rsidRDefault="006A021C">
      <w:pPr>
        <w:spacing w:after="120"/>
        <w:rPr>
          <w:rFonts w:ascii="Calibri" w:eastAsia="Calibri" w:hAnsi="Calibri" w:cs="Calibri"/>
          <w:color w:val="595959"/>
          <w:sz w:val="24"/>
          <w:szCs w:val="24"/>
        </w:rPr>
      </w:pP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w:t>
      </w:r>
      <w:proofErr w:type="spellStart"/>
      <w:r>
        <w:rPr>
          <w:rFonts w:ascii="Calibri" w:eastAsia="Calibri" w:hAnsi="Calibri" w:cs="Calibri"/>
          <w:color w:val="595959"/>
          <w:sz w:val="24"/>
          <w:szCs w:val="24"/>
        </w:rPr>
        <w:t>RoP</w:t>
      </w:r>
      <w:proofErr w:type="spellEnd"/>
      <w:r>
        <w:rPr>
          <w:rFonts w:ascii="Calibri" w:eastAsia="Calibri" w:hAnsi="Calibri" w:cs="Calibri"/>
          <w:color w:val="595959"/>
          <w:sz w:val="24"/>
          <w:szCs w:val="24"/>
        </w:rPr>
        <w:t xml:space="preserve"> with key process owners and how completi</w:t>
      </w:r>
      <w:r>
        <w:rPr>
          <w:rFonts w:ascii="Calibri" w:eastAsia="Calibri" w:hAnsi="Calibri" w:cs="Calibri"/>
          <w:color w:val="595959"/>
          <w:sz w:val="24"/>
          <w:szCs w:val="24"/>
        </w:rPr>
        <w:t xml:space="preserve">ng the master lists will ensure the school reflects the technical measures and procedures it has in place to safeguard personal data.  </w:t>
      </w:r>
    </w:p>
    <w:p w14:paraId="26DA9D35" w14:textId="77777777" w:rsidR="001B0B0F" w:rsidRDefault="006A021C">
      <w:pPr>
        <w:spacing w:after="120"/>
        <w:rPr>
          <w:rFonts w:ascii="Calibri" w:eastAsia="Calibri" w:hAnsi="Calibri" w:cs="Calibri"/>
          <w:color w:val="595959"/>
          <w:sz w:val="24"/>
          <w:szCs w:val="24"/>
        </w:rPr>
      </w:pPr>
      <w:r>
        <w:rPr>
          <w:rFonts w:ascii="Calibri" w:eastAsia="Calibri" w:hAnsi="Calibri" w:cs="Calibri"/>
          <w:b/>
          <w:color w:val="595959"/>
          <w:sz w:val="24"/>
          <w:szCs w:val="24"/>
        </w:rPr>
        <w:t>Step 3</w:t>
      </w:r>
      <w:r>
        <w:rPr>
          <w:rFonts w:ascii="Calibri" w:eastAsia="Calibri" w:hAnsi="Calibri" w:cs="Calibri"/>
          <w:color w:val="595959"/>
          <w:sz w:val="24"/>
          <w:szCs w:val="24"/>
        </w:rPr>
        <w:t xml:space="preserve"> – online workshops and group sessions to support schools with further individual sessions as needed.</w:t>
      </w:r>
    </w:p>
    <w:p w14:paraId="2BCDB812" w14:textId="77777777" w:rsidR="001B0B0F" w:rsidRDefault="006A021C">
      <w:pPr>
        <w:spacing w:after="120"/>
        <w:rPr>
          <w:rFonts w:ascii="Calibri" w:eastAsia="Calibri" w:hAnsi="Calibri" w:cs="Calibri"/>
          <w:b/>
          <w:color w:val="0591B4"/>
          <w:sz w:val="32"/>
          <w:szCs w:val="32"/>
        </w:rPr>
      </w:pPr>
      <w:r>
        <w:rPr>
          <w:rFonts w:ascii="Calibri" w:eastAsia="Calibri" w:hAnsi="Calibri" w:cs="Calibri"/>
          <w:color w:val="595959"/>
          <w:sz w:val="24"/>
          <w:szCs w:val="24"/>
        </w:rPr>
        <w:t xml:space="preserve">Note: a number of reporting functions </w:t>
      </w:r>
      <w:proofErr w:type="gramStart"/>
      <w:r>
        <w:rPr>
          <w:rFonts w:ascii="Calibri" w:eastAsia="Calibri" w:hAnsi="Calibri" w:cs="Calibri"/>
          <w:color w:val="595959"/>
          <w:sz w:val="24"/>
          <w:szCs w:val="24"/>
        </w:rPr>
        <w:t>i.e.</w:t>
      </w:r>
      <w:proofErr w:type="gramEnd"/>
      <w:r>
        <w:rPr>
          <w:rFonts w:ascii="Calibri" w:eastAsia="Calibri" w:hAnsi="Calibri" w:cs="Calibri"/>
          <w:color w:val="595959"/>
          <w:sz w:val="24"/>
          <w:szCs w:val="24"/>
        </w:rPr>
        <w:t xml:space="preserve"> risk reports will shortly be available. </w:t>
      </w:r>
    </w:p>
    <w:p w14:paraId="0E1B5EC3" w14:textId="77777777" w:rsidR="001B0B0F" w:rsidRDefault="001B0B0F">
      <w:pPr>
        <w:jc w:val="both"/>
        <w:rPr>
          <w:rFonts w:ascii="Calibri" w:eastAsia="Calibri" w:hAnsi="Calibri" w:cs="Calibri"/>
          <w:sz w:val="22"/>
          <w:szCs w:val="22"/>
        </w:rPr>
      </w:pPr>
    </w:p>
    <w:sectPr w:rsidR="001B0B0F">
      <w:headerReference w:type="defaul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0C9ECE" w14:textId="77777777" w:rsidR="006A021C" w:rsidRDefault="006A021C">
      <w:r>
        <w:separator/>
      </w:r>
    </w:p>
  </w:endnote>
  <w:endnote w:type="continuationSeparator" w:id="0">
    <w:p w14:paraId="248491F9" w14:textId="77777777" w:rsidR="006A021C" w:rsidRDefault="006A0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8F0B7F" w14:textId="77777777" w:rsidR="006A021C" w:rsidRDefault="006A021C">
      <w:r>
        <w:separator/>
      </w:r>
    </w:p>
  </w:footnote>
  <w:footnote w:type="continuationSeparator" w:id="0">
    <w:p w14:paraId="347A1A97" w14:textId="77777777" w:rsidR="006A021C" w:rsidRDefault="006A0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9E0863" w14:textId="77777777" w:rsidR="001B0B0F" w:rsidRDefault="006A021C">
    <w:r>
      <w:rPr>
        <w:noProof/>
      </w:rPr>
      <w:drawing>
        <wp:inline distT="0" distB="0" distL="114300" distR="114300" wp14:anchorId="2E1F3A92" wp14:editId="7F16B0B4">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AB4763D" w14:textId="77777777" w:rsidR="001B0B0F" w:rsidRDefault="001B0B0F"/>
  <w:p w14:paraId="1828C573" w14:textId="77777777" w:rsidR="001B0B0F" w:rsidRDefault="006A021C">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A244B"/>
    <w:multiLevelType w:val="multilevel"/>
    <w:tmpl w:val="1BB440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73293AF5"/>
    <w:multiLevelType w:val="multilevel"/>
    <w:tmpl w:val="1BD8B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9853722"/>
    <w:multiLevelType w:val="multilevel"/>
    <w:tmpl w:val="830C0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B0F"/>
    <w:rsid w:val="001B0B0F"/>
    <w:rsid w:val="006A021C"/>
    <w:rsid w:val="00906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0FFCC"/>
  <w15:docId w15:val="{79689D6D-212F-42C8-913A-35CA602EB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commitment-to-compliance" TargetMode="External"/><Relationship Id="rId13" Type="http://schemas.openxmlformats.org/officeDocument/2006/relationships/hyperlink" Target="https://dataprotection.education/manager-reports?view=reports" TargetMode="External"/><Relationship Id="rId18" Type="http://schemas.openxmlformats.org/officeDocument/2006/relationships/hyperlink" Target="https://kb.dataprotection.education/news-top/news/94-siteupdates/175-record-of-processing-rop-supporting-informat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kb.dataprotection.education/index.php/best-practice-library/best-practice/governors-and-data" TargetMode="External"/><Relationship Id="rId17" Type="http://schemas.openxmlformats.org/officeDocument/2006/relationships/hyperlink" Target="https://kb.dataprotection.education/best-practice-library/documents/drip-feeds/57-dpe-quick-reference-guide"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freedom-of-informa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dataprotection.education/index.php/best-practice-library/best-practice/commitment-to-compliance" TargetMode="External"/><Relationship Id="rId5" Type="http://schemas.openxmlformats.org/officeDocument/2006/relationships/webSettings" Target="webSettings.xml"/><Relationship Id="rId15" Type="http://schemas.openxmlformats.org/officeDocument/2006/relationships/hyperlink" Target="https://dataprotection.education/news-top/news/83-best-practice-updates/182-model-publication-scheme-amendments-improvements-and-updates" TargetMode="External"/><Relationship Id="rId10" Type="http://schemas.openxmlformats.org/officeDocument/2006/relationships/hyperlink" Target="https://dataprotection.education/index.php/best-practice-library/best-practice/coronaviru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mmitment-to-compliance" TargetMode="External"/><Relationship Id="rId14" Type="http://schemas.openxmlformats.org/officeDocument/2006/relationships/hyperlink" Target="https://dataprotection.education/student-list/use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eWYVGnHmuqX3+NrOrIJvTgkVpg==">AMUW2mVzPSg5pr0qmP5ADQV0U5JaSfoNGlD6LWKVplA6o3Tr9rX2xcfjYeIbnDW7o+JPm+sHvZi/wN4fRWjx5N+5UxOX2TKYNrcP215Q68yN2Dc68JdCiak=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1220</Words>
  <Characters>6960</Characters>
  <Application>Microsoft Office Word</Application>
  <DocSecurity>0</DocSecurity>
  <Lines>58</Lines>
  <Paragraphs>16</Paragraphs>
  <ScaleCrop>false</ScaleCrop>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2</cp:revision>
  <dcterms:created xsi:type="dcterms:W3CDTF">2021-02-09T14:57:00Z</dcterms:created>
  <dcterms:modified xsi:type="dcterms:W3CDTF">2021-03-22T13:58:00Z</dcterms:modified>
</cp:coreProperties>
</file>