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Scole Primary                                               Date: 11/03/2021</w:t>
      </w:r>
    </w:p>
    <w:p w:rsidR="00000000" w:rsidDel="00000000" w:rsidP="00000000" w:rsidRDefault="00000000" w:rsidRPr="00000000" w14:paraId="00000002">
      <w:pPr>
        <w:jc w:val="both"/>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color w:val="0591b4"/>
          <w:sz w:val="32"/>
          <w:szCs w:val="3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p>
    <w:p w:rsidR="00000000" w:rsidDel="00000000" w:rsidP="00000000" w:rsidRDefault="00000000" w:rsidRPr="00000000" w14:paraId="00000004">
      <w:pPr>
        <w:jc w:val="both"/>
        <w:rPr>
          <w:rFonts w:ascii="Calibri" w:cs="Calibri" w:eastAsia="Calibri" w:hAnsi="Calibri"/>
          <w:sz w:val="32"/>
          <w:szCs w:val="32"/>
        </w:rPr>
      </w:pPr>
      <w:r w:rsidDel="00000000" w:rsidR="00000000" w:rsidRPr="00000000">
        <w:rPr>
          <w:rFonts w:ascii="Calibri" w:cs="Calibri" w:eastAsia="Calibri" w:hAnsi="Calibri"/>
          <w:b w:val="1"/>
          <w:color w:val="0591b4"/>
          <w:sz w:val="32"/>
          <w:szCs w:val="32"/>
          <w:rtl w:val="0"/>
        </w:rPr>
        <w:t xml:space="preserve">School member: </w:t>
      </w:r>
      <w:r w:rsidDel="00000000" w:rsidR="00000000" w:rsidRPr="00000000">
        <w:rPr>
          <w:rFonts w:ascii="Calibri" w:cs="Calibri" w:eastAsia="Calibri" w:hAnsi="Calibri"/>
          <w:color w:val="0591b4"/>
          <w:sz w:val="32"/>
          <w:szCs w:val="32"/>
          <w:rtl w:val="0"/>
        </w:rPr>
        <w:t xml:space="preserve"> C Vosber and C Buck</w:t>
      </w:r>
      <w:r w:rsidDel="00000000" w:rsidR="00000000" w:rsidRPr="00000000">
        <w:rPr>
          <w:rtl w:val="0"/>
        </w:rPr>
      </w:r>
    </w:p>
    <w:p w:rsidR="00000000" w:rsidDel="00000000" w:rsidP="00000000" w:rsidRDefault="00000000" w:rsidRPr="00000000" w14:paraId="00000005">
      <w:pPr>
        <w:shd w:fill="9cc5db" w:val="clear"/>
        <w:jc w:val="both"/>
        <w:rPr>
          <w:rFonts w:ascii="Calibri" w:cs="Calibri" w:eastAsia="Calibri" w:hAnsi="Calibri"/>
        </w:rPr>
      </w:pPr>
      <w:r w:rsidDel="00000000" w:rsidR="00000000" w:rsidRPr="00000000">
        <w:rPr>
          <w:rFonts w:ascii="Calibri" w:cs="Calibri" w:eastAsia="Calibri" w:hAnsi="Calibri"/>
          <w:color w:val="9cc5db"/>
          <w:sz w:val="2"/>
          <w:szCs w:val="2"/>
          <w:rtl w:val="0"/>
        </w:rPr>
        <w:t xml:space="preserve">_</w:t>
      </w: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7">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Website updates including best practice areas and updates to existing policies/documentation</w:t>
      </w:r>
      <w:r w:rsidDel="00000000" w:rsidR="00000000" w:rsidRPr="00000000">
        <w:rPr>
          <w:rtl w:val="0"/>
        </w:rPr>
      </w:r>
    </w:p>
    <w:p w:rsidR="00000000" w:rsidDel="00000000" w:rsidP="00000000" w:rsidRDefault="00000000" w:rsidRPr="00000000" w14:paraId="00000008">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Review of  training i.e. GDPR refresher and work away from school</w:t>
      </w:r>
      <w:r w:rsidDel="00000000" w:rsidR="00000000" w:rsidRPr="00000000">
        <w:rPr>
          <w:rtl w:val="0"/>
        </w:rPr>
      </w:r>
    </w:p>
    <w:p w:rsidR="00000000" w:rsidDel="00000000" w:rsidP="00000000" w:rsidRDefault="00000000" w:rsidRPr="00000000" w14:paraId="00000009">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Internal audit templates</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a demonstration of the RoP tool</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are detailed below:</w:t>
      </w:r>
    </w:p>
    <w:p w:rsidR="00000000" w:rsidDel="00000000" w:rsidP="00000000" w:rsidRDefault="00000000" w:rsidRPr="00000000" w14:paraId="0000000D">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Update the GDPR Policy and Privacy Notices</w:t>
      </w:r>
      <w:r w:rsidDel="00000000" w:rsidR="00000000" w:rsidRPr="00000000">
        <w:rPr>
          <w:rFonts w:ascii="Calibri" w:cs="Calibri" w:eastAsia="Calibri" w:hAnsi="Calibri"/>
          <w:sz w:val="24"/>
          <w:szCs w:val="24"/>
          <w:rtl w:val="0"/>
        </w:rPr>
        <w:t xml:space="preserve">. The school to update the GDPR Policy and Privacy Notices to the latest versions as there have been several revisions. In addition, update the documentation on the school website </w:t>
      </w:r>
      <w:r w:rsidDel="00000000" w:rsidR="00000000" w:rsidRPr="00000000">
        <w:rPr>
          <w:rFonts w:ascii="Calibri" w:cs="Calibri" w:eastAsia="Calibri" w:hAnsi="Calibri"/>
          <w:color w:val="ff0000"/>
          <w:sz w:val="24"/>
          <w:szCs w:val="24"/>
          <w:rtl w:val="0"/>
        </w:rPr>
        <w:t xml:space="preserve">(attached)</w:t>
      </w:r>
      <w:r w:rsidDel="00000000" w:rsidR="00000000" w:rsidRPr="00000000">
        <w:rPr>
          <w:rtl w:val="0"/>
        </w:rPr>
      </w:r>
    </w:p>
    <w:p w:rsidR="00000000" w:rsidDel="00000000" w:rsidP="00000000" w:rsidRDefault="00000000" w:rsidRPr="00000000" w14:paraId="0000000E">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action best practice area/checklist and governor best practice area</w:t>
      </w:r>
      <w:r w:rsidDel="00000000" w:rsidR="00000000" w:rsidRPr="00000000">
        <w:rPr>
          <w:rFonts w:ascii="Calibri" w:cs="Calibri" w:eastAsia="Calibri" w:hAnsi="Calibri"/>
          <w:sz w:val="24"/>
          <w:szCs w:val="24"/>
          <w:rtl w:val="0"/>
        </w:rPr>
        <w:t xml:space="preserve">: The compliance best practice area/checklist can be used to manage progress, print off reports for Trustees/Governors and support consultants during visits/remote consultations. Please check that you are happy that you now have all of the initial compliance documents i.e. SAR procedure and data breach procedure. Do all staff understand your organisation's data breach procedure? The school has the SAR procedure on the school website.</w:t>
      </w:r>
      <w:r w:rsidDel="00000000" w:rsidR="00000000" w:rsidRPr="00000000">
        <w:rPr>
          <w:rFonts w:ascii="Calibri" w:cs="Calibri" w:eastAsia="Calibri" w:hAnsi="Calibri"/>
          <w:b w:val="1"/>
          <w:sz w:val="24"/>
          <w:szCs w:val="24"/>
          <w:rtl w:val="0"/>
        </w:rPr>
        <w:t xml:space="preserve"> Action: </w:t>
      </w:r>
      <w:r w:rsidDel="00000000" w:rsidR="00000000" w:rsidRPr="00000000">
        <w:rPr>
          <w:rFonts w:ascii="Calibri" w:cs="Calibri" w:eastAsia="Calibri" w:hAnsi="Calibri"/>
          <w:sz w:val="24"/>
          <w:szCs w:val="24"/>
          <w:rtl w:val="0"/>
        </w:rPr>
        <w:t xml:space="preserve">The data breach procedure will be disseminated to staff to raise awareness. </w:t>
      </w:r>
    </w:p>
    <w:p w:rsidR="00000000" w:rsidDel="00000000" w:rsidP="00000000" w:rsidRDefault="00000000" w:rsidRPr="00000000" w14:paraId="0000000F">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Training:</w:t>
      </w:r>
    </w:p>
    <w:p w:rsidR="00000000" w:rsidDel="00000000" w:rsidP="00000000" w:rsidRDefault="00000000" w:rsidRPr="00000000" w14:paraId="00000010">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training completed and follow up with staff yet to complete training </w:t>
      </w:r>
    </w:p>
    <w:p w:rsidR="00000000" w:rsidDel="00000000" w:rsidP="00000000" w:rsidRDefault="00000000" w:rsidRPr="00000000" w14:paraId="00000011">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any additional training modules that can be completed; GDPR refresh and data breach. Suggested that if it is more than 2 years ago since the initial training, for staff to complete the GDPR refresher in preparation for September. </w:t>
      </w:r>
    </w:p>
    <w:p w:rsidR="00000000" w:rsidDel="00000000" w:rsidP="00000000" w:rsidRDefault="00000000" w:rsidRPr="00000000" w14:paraId="00000012">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The school has the option of adopting DPEs model publication scheme (please refer to section 4). School does have one, but this is now outdated and will consider updating. </w:t>
      </w:r>
    </w:p>
    <w:p w:rsidR="00000000" w:rsidDel="00000000" w:rsidP="00000000" w:rsidRDefault="00000000" w:rsidRPr="00000000" w14:paraId="00000013">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Internal audit walks: </w:t>
      </w:r>
      <w:r w:rsidDel="00000000" w:rsidR="00000000" w:rsidRPr="00000000">
        <w:rPr>
          <w:rFonts w:ascii="Calibri" w:cs="Calibri" w:eastAsia="Calibri" w:hAnsi="Calibri"/>
          <w:sz w:val="24"/>
          <w:szCs w:val="24"/>
          <w:rtl w:val="0"/>
        </w:rPr>
        <w:t xml:space="preserve">explained the online walk during the consultation (unable to demonstrate). The school can use this to complete their own end of day walk and report findings back to staff (raising awareness). </w:t>
      </w:r>
    </w:p>
    <w:p w:rsidR="00000000" w:rsidDel="00000000" w:rsidP="00000000" w:rsidRDefault="00000000" w:rsidRPr="00000000" w14:paraId="00000014">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Record of Processing (RoP):  Demonstrated the RoP and DPEs methodology for rolling out (section 6 below). </w:t>
      </w:r>
      <w:r w:rsidDel="00000000" w:rsidR="00000000" w:rsidRPr="00000000">
        <w:rPr>
          <w:rFonts w:ascii="Calibri" w:cs="Calibri" w:eastAsia="Calibri" w:hAnsi="Calibri"/>
          <w:sz w:val="24"/>
          <w:szCs w:val="24"/>
          <w:rtl w:val="0"/>
        </w:rPr>
        <w:t xml:space="preserve">SL to spend time at the next consultation to go over the RoP in more detail (meeting arranged for: 11 May 2021.</w:t>
      </w:r>
    </w:p>
    <w:p w:rsidR="00000000" w:rsidDel="00000000" w:rsidP="00000000" w:rsidRDefault="00000000" w:rsidRPr="00000000" w14:paraId="00000015">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Memory sticks and cloud services: Risk identified with the use of unencrypted memory sticks. Claire </w:t>
      </w:r>
      <w:r w:rsidDel="00000000" w:rsidR="00000000" w:rsidRPr="00000000">
        <w:rPr>
          <w:rFonts w:ascii="Calibri" w:cs="Calibri" w:eastAsia="Calibri" w:hAnsi="Calibri"/>
          <w:sz w:val="24"/>
          <w:szCs w:val="24"/>
          <w:rtl w:val="0"/>
        </w:rPr>
        <w:t xml:space="preserve">to explore online solutions, or utilising the schools MIS for completing student  reports securely. Staff to be communicated with regarding not storing personal identifiable information on memory sticks in the interim period. Authorisation should be given by the headteacher in exceptional circumstances.  No unencrypted memory sticks should be in use.</w:t>
      </w:r>
      <w:r w:rsidDel="00000000" w:rsidR="00000000" w:rsidRPr="00000000">
        <w:rPr>
          <w:rtl w:val="0"/>
        </w:rPr>
      </w:r>
    </w:p>
    <w:p w:rsidR="00000000" w:rsidDel="00000000" w:rsidP="00000000" w:rsidRDefault="00000000" w:rsidRPr="00000000" w14:paraId="00000016">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Links and additional guidance in order of priority actions detailed below:</w:t>
      </w:r>
    </w:p>
    <w:p w:rsidR="00000000" w:rsidDel="00000000" w:rsidP="00000000" w:rsidRDefault="00000000" w:rsidRPr="00000000" w14:paraId="00000017">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1. GDPR policy update and Privacy notice updates</w:t>
      </w:r>
    </w:p>
    <w:p w:rsidR="00000000" w:rsidDel="00000000" w:rsidP="00000000" w:rsidRDefault="00000000" w:rsidRPr="00000000" w14:paraId="0000001A">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latest GDPR policy and Privacy Notices can be located from the compliance best practice area: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1B">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Regardless of adopting the very latest documents your current privacy notice and policy should now include sections for COVID-19  - refer to the July 17 update: </w:t>
      </w:r>
      <w:hyperlink r:id="rId8">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https://dataprotection.education/index.php/best-practice-library/best-practice/coronavirus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1C">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1D">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0591b4"/>
          <w:sz w:val="32"/>
          <w:szCs w:val="32"/>
          <w:rtl w:val="0"/>
        </w:rPr>
        <w:t xml:space="preserve">2. Compliance checklist and governance   </w:t>
      </w:r>
      <w:r w:rsidDel="00000000" w:rsidR="00000000" w:rsidRPr="00000000">
        <w:rPr>
          <w:rtl w:val="0"/>
        </w:rPr>
      </w:r>
    </w:p>
    <w:p w:rsidR="00000000" w:rsidDel="00000000" w:rsidP="00000000" w:rsidRDefault="00000000" w:rsidRPr="00000000" w14:paraId="0000001E">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 reminder that the </w:t>
      </w:r>
      <w:r w:rsidDel="00000000" w:rsidR="00000000" w:rsidRPr="00000000">
        <w:rPr>
          <w:rFonts w:ascii="Calibri" w:cs="Calibri" w:eastAsia="Calibri" w:hAnsi="Calibri"/>
          <w:b w:val="1"/>
          <w:color w:val="595959"/>
          <w:sz w:val="24"/>
          <w:szCs w:val="24"/>
          <w:rtl w:val="0"/>
        </w:rPr>
        <w:t xml:space="preserve">compliance checklist </w:t>
      </w:r>
      <w:r w:rsidDel="00000000" w:rsidR="00000000" w:rsidRPr="00000000">
        <w:rPr>
          <w:rFonts w:ascii="Calibri" w:cs="Calibri" w:eastAsia="Calibri" w:hAnsi="Calibri"/>
          <w:color w:val="595959"/>
          <w:sz w:val="24"/>
          <w:szCs w:val="24"/>
          <w:rtl w:val="0"/>
        </w:rPr>
        <w:t xml:space="preserve">can be used to support ongoing compliance, supporting consultants during remote sessions and for monitoring with governors. Reports can be printed from the compliance checklist: </w:t>
      </w:r>
      <w:hyperlink r:id="rId9">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There are many more checklists that you’ll find useful. </w:t>
      </w:r>
    </w:p>
    <w:p w:rsidR="00000000" w:rsidDel="00000000" w:rsidP="00000000" w:rsidRDefault="00000000" w:rsidRPr="00000000" w14:paraId="0000001F">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In addition, the governor best practice and terms of reference can also be used to support compliance if needed: </w:t>
      </w:r>
      <w:hyperlink r:id="rId10">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https://kb.dataprotection.education/index.php/best-practice-library/best-practice/governors-and-data</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0">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3. Setting staff up for e-learning training and mini training guides</w:t>
      </w:r>
    </w:p>
    <w:p w:rsidR="00000000" w:rsidDel="00000000" w:rsidP="00000000" w:rsidRDefault="00000000" w:rsidRPr="00000000" w14:paraId="00000022">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You should now be reviewing training i.e. GDPR refresher, data breaches and work away from school. You can check which staff have or have not completed the various modules by selecting the reports from your dashboard:  </w:t>
      </w:r>
      <w:hyperlink r:id="rId11">
        <w:r w:rsidDel="00000000" w:rsidR="00000000" w:rsidRPr="00000000">
          <w:rPr>
            <w:rFonts w:ascii="Calibri" w:cs="Calibri" w:eastAsia="Calibri" w:hAnsi="Calibri"/>
            <w:color w:val="1155cc"/>
            <w:sz w:val="24"/>
            <w:szCs w:val="24"/>
            <w:u w:val="single"/>
            <w:rtl w:val="0"/>
          </w:rPr>
          <w:t xml:space="preserve">https://dataprotection.education/manager-reports?view=reports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3">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Users can be set up on the system by adding individually or importing as a group: </w:t>
      </w:r>
      <w:hyperlink r:id="rId12">
        <w:r w:rsidDel="00000000" w:rsidR="00000000" w:rsidRPr="00000000">
          <w:rPr>
            <w:rFonts w:ascii="Calibri" w:cs="Calibri" w:eastAsia="Calibri" w:hAnsi="Calibri"/>
            <w:color w:val="0563c1"/>
            <w:sz w:val="24"/>
            <w:szCs w:val="24"/>
            <w:u w:val="single"/>
            <w:rtl w:val="0"/>
          </w:rPr>
          <w:t xml:space="preserve">https://dataprotection.education/student-list/users</w:t>
        </w:r>
      </w:hyperlink>
      <w:r w:rsidDel="00000000" w:rsidR="00000000" w:rsidRPr="00000000">
        <w:rPr>
          <w:rFonts w:ascii="Calibri" w:cs="Calibri" w:eastAsia="Calibri" w:hAnsi="Calibri"/>
          <w:color w:val="595959"/>
          <w:sz w:val="24"/>
          <w:szCs w:val="24"/>
          <w:rtl w:val="0"/>
        </w:rPr>
        <w:t xml:space="preserve">)  Kalina at DPE (client support) is here to help you and can be contacted for support at: kalina.voyvodova@dataprotection.education  </w:t>
      </w:r>
    </w:p>
    <w:p w:rsidR="00000000" w:rsidDel="00000000" w:rsidP="00000000" w:rsidRDefault="00000000" w:rsidRPr="00000000" w14:paraId="00000024">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595959"/>
          <w:sz w:val="24"/>
          <w:szCs w:val="24"/>
          <w:rtl w:val="0"/>
        </w:rPr>
        <w:t xml:space="preserve">All staff should now have completed some form of data protection training.</w:t>
      </w:r>
      <w:r w:rsidDel="00000000" w:rsidR="00000000" w:rsidRPr="00000000">
        <w:rPr>
          <w:rtl w:val="0"/>
        </w:rPr>
      </w:r>
    </w:p>
    <w:p w:rsidR="00000000" w:rsidDel="00000000" w:rsidP="00000000" w:rsidRDefault="00000000" w:rsidRPr="00000000" w14:paraId="00000025">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dashboard now has mini training videos for many of the main areas, including data breaches and SARS. There is also a data breach and SAR best practice area where all the information is now situated.</w:t>
      </w:r>
    </w:p>
    <w:p w:rsidR="00000000" w:rsidDel="00000000" w:rsidP="00000000" w:rsidRDefault="00000000" w:rsidRPr="00000000" w14:paraId="00000026">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4. Publication scheme </w:t>
      </w:r>
    </w:p>
    <w:p w:rsidR="00000000" w:rsidDel="00000000" w:rsidP="00000000" w:rsidRDefault="00000000" w:rsidRPr="00000000" w14:paraId="00000027">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color w:val="595959"/>
          <w:sz w:val="24"/>
          <w:szCs w:val="24"/>
          <w:rtl w:val="0"/>
        </w:rPr>
        <w:t xml:space="preserve">The publication scheme has now been updated and as a public authority you should have one.  </w:t>
      </w:r>
      <w:r w:rsidDel="00000000" w:rsidR="00000000" w:rsidRPr="00000000">
        <w:rPr>
          <w:rFonts w:ascii="Calibri" w:cs="Calibri" w:eastAsia="Calibri" w:hAnsi="Calibri"/>
          <w:b w:val="1"/>
          <w:color w:val="595959"/>
          <w:sz w:val="24"/>
          <w:szCs w:val="24"/>
          <w:rtl w:val="0"/>
        </w:rPr>
        <w:t xml:space="preserve">The updated guidance can be obtained from: </w:t>
      </w:r>
      <w:hyperlink r:id="rId13">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28">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Updated publication schemes can be obtained from: </w:t>
      </w:r>
      <w:hyperlink r:id="rId14">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9">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5. Audit walk </w:t>
      </w:r>
    </w:p>
    <w:p w:rsidR="00000000" w:rsidDel="00000000" w:rsidP="00000000" w:rsidRDefault="00000000" w:rsidRPr="00000000" w14:paraId="0000002A">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5">
        <w:r w:rsidDel="00000000" w:rsidR="00000000" w:rsidRPr="00000000">
          <w:rPr>
            <w:rFonts w:ascii="Calibri" w:cs="Calibri" w:eastAsia="Calibri" w:hAnsi="Calibri"/>
            <w:color w:val="1155cc"/>
            <w:sz w:val="24"/>
            <w:szCs w:val="24"/>
            <w:u w:val="single"/>
            <w:rtl w:val="0"/>
          </w:rPr>
          <w:t xml:space="preserve">https://kb.dataprotection.education/best-practice-library/documents/drip-feeds/57-dpe-quick-reference-guid</w:t>
        </w:r>
      </w:hyperlink>
      <w:r w:rsidDel="00000000" w:rsidR="00000000" w:rsidRPr="00000000">
        <w:rPr>
          <w:rtl w:val="0"/>
        </w:rPr>
      </w:r>
    </w:p>
    <w:p w:rsidR="00000000" w:rsidDel="00000000" w:rsidP="00000000" w:rsidRDefault="00000000" w:rsidRPr="00000000" w14:paraId="0000002B">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sz w:val="24"/>
          <w:szCs w:val="24"/>
          <w:rtl w:val="0"/>
        </w:rPr>
        <w:t xml:space="preserve">DPE will also be providing a live online audit walk that will be available shortly (demonstrated during the consultation).</w:t>
      </w:r>
      <w:r w:rsidDel="00000000" w:rsidR="00000000" w:rsidRPr="00000000">
        <w:rPr>
          <w:rtl w:val="0"/>
        </w:rPr>
      </w:r>
    </w:p>
    <w:p w:rsidR="00000000" w:rsidDel="00000000" w:rsidP="00000000" w:rsidRDefault="00000000" w:rsidRPr="00000000" w14:paraId="0000002C">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6. Record of Processing (RoP)</w:t>
      </w:r>
    </w:p>
    <w:p w:rsidR="00000000" w:rsidDel="00000000" w:rsidP="00000000" w:rsidRDefault="00000000" w:rsidRPr="00000000" w14:paraId="0000002D">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ROP will start to be used for your record of processing. DPEs methodology for rolling out the RoP can be found here: </w:t>
      </w:r>
      <w:hyperlink r:id="rId16">
        <w:r w:rsidDel="00000000" w:rsidR="00000000" w:rsidRPr="00000000">
          <w:rPr>
            <w:rFonts w:ascii="Calibri" w:cs="Calibri" w:eastAsia="Calibri" w:hAnsi="Calibri"/>
            <w:color w:val="1155cc"/>
            <w:sz w:val="24"/>
            <w:szCs w:val="24"/>
            <w:u w:val="single"/>
            <w:rtl w:val="0"/>
          </w:rPr>
          <w:t xml:space="preserve">https://kb.dataprotection.education/news-top/news/94-siteupdates/175-record-of-processing-rop-supporting-information</w:t>
        </w:r>
      </w:hyperlink>
      <w:r w:rsidDel="00000000" w:rsidR="00000000" w:rsidRPr="00000000">
        <w:rPr>
          <w:rFonts w:ascii="Calibri" w:cs="Calibri" w:eastAsia="Calibri" w:hAnsi="Calibri"/>
          <w:color w:val="595959"/>
          <w:sz w:val="24"/>
          <w:szCs w:val="24"/>
          <w:rtl w:val="0"/>
        </w:rPr>
        <w:t xml:space="preserve">  The RoP can be used for risk assessments (DPIAs), especially where new technologies are being introduced. Always email: dpo@dataprotection.education for support if needed.  </w:t>
      </w:r>
    </w:p>
    <w:p w:rsidR="00000000" w:rsidDel="00000000" w:rsidP="00000000" w:rsidRDefault="00000000" w:rsidRPr="00000000" w14:paraId="0000002E">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b w:val="1"/>
          <w:color w:val="595959"/>
          <w:sz w:val="24"/>
          <w:szCs w:val="24"/>
          <w:rtl w:val="0"/>
        </w:rPr>
        <w:t xml:space="preserve">Next steps:</w:t>
      </w:r>
    </w:p>
    <w:p w:rsidR="00000000" w:rsidDel="00000000" w:rsidP="00000000" w:rsidRDefault="00000000" w:rsidRPr="00000000" w14:paraId="0000002F">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We will work with you and demonstrate how the RoP can be adapted to reflect your school’s individual practice. </w:t>
      </w:r>
    </w:p>
    <w:p w:rsidR="00000000" w:rsidDel="00000000" w:rsidP="00000000" w:rsidRDefault="00000000" w:rsidRPr="00000000" w14:paraId="00000030">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1</w:t>
      </w:r>
      <w:r w:rsidDel="00000000" w:rsidR="00000000" w:rsidRPr="00000000">
        <w:rPr>
          <w:rFonts w:ascii="Calibri" w:cs="Calibri" w:eastAsia="Calibri" w:hAnsi="Calibri"/>
          <w:color w:val="595959"/>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31">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2</w:t>
      </w:r>
      <w:r w:rsidDel="00000000" w:rsidR="00000000" w:rsidRPr="00000000">
        <w:rPr>
          <w:rFonts w:ascii="Calibri" w:cs="Calibri" w:eastAsia="Calibri" w:hAnsi="Calibri"/>
          <w:color w:val="595959"/>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32">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3</w:t>
      </w:r>
      <w:r w:rsidDel="00000000" w:rsidR="00000000" w:rsidRPr="00000000">
        <w:rPr>
          <w:rFonts w:ascii="Calibri" w:cs="Calibri" w:eastAsia="Calibri" w:hAnsi="Calibri"/>
          <w:color w:val="595959"/>
          <w:sz w:val="24"/>
          <w:szCs w:val="24"/>
          <w:rtl w:val="0"/>
        </w:rPr>
        <w:t xml:space="preserve"> – online workshops and group sessions to support schools with further individual sessions as needed.</w:t>
      </w:r>
    </w:p>
    <w:p w:rsidR="00000000" w:rsidDel="00000000" w:rsidP="00000000" w:rsidRDefault="00000000" w:rsidRPr="00000000" w14:paraId="00000033">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Note: a number of reporting functions i.e. risk reports will shortly be available. </w:t>
      </w:r>
    </w:p>
    <w:p w:rsidR="00000000" w:rsidDel="00000000" w:rsidP="00000000" w:rsidRDefault="00000000" w:rsidRPr="00000000" w14:paraId="00000034">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5">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6">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7">
      <w:pPr>
        <w:spacing w:after="120" w:lineRule="auto"/>
        <w:rPr>
          <w:rFonts w:ascii="Quattrocento Sans" w:cs="Quattrocento Sans" w:eastAsia="Quattrocento Sans" w:hAnsi="Quattrocento Sans"/>
          <w:b w:val="1"/>
          <w:color w:val="595959"/>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9">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sz w:val="22"/>
          <w:szCs w:val="22"/>
        </w:rPr>
      </w:pPr>
      <w:r w:rsidDel="00000000" w:rsidR="00000000" w:rsidRPr="00000000">
        <w:rPr>
          <w:rtl w:val="0"/>
        </w:rPr>
      </w:r>
    </w:p>
    <w:sectPr>
      <w:headerReference r:id="rId1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rPr/>
    </w:pPr>
    <w:r w:rsidDel="00000000" w:rsidR="00000000" w:rsidRPr="00000000">
      <w:rPr/>
      <w:drawing>
        <wp:inline distB="0" distT="0" distL="114300" distR="114300">
          <wp:extent cx="2552700" cy="68580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ataprotection.education/manager-reports?view=reports" TargetMode="External"/><Relationship Id="rId10" Type="http://schemas.openxmlformats.org/officeDocument/2006/relationships/hyperlink" Target="https://kb.dataprotection.education/index.php/best-practice-library/best-practice/governors-and-data" TargetMode="External"/><Relationship Id="rId13" Type="http://schemas.openxmlformats.org/officeDocument/2006/relationships/hyperlink" Target="https://dataprotection.education/news-top/news/83-best-practice-updates/182-model-publication-scheme-amendments-improvements-and-updates" TargetMode="External"/><Relationship Id="rId12" Type="http://schemas.openxmlformats.org/officeDocument/2006/relationships/hyperlink" Target="https://dataprotection.education/student-list/us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b.dataprotection.education/index.php/best-practice-library/best-practice/commitment-to-compliance" TargetMode="External"/><Relationship Id="rId15" Type="http://schemas.openxmlformats.org/officeDocument/2006/relationships/hyperlink" Target="https://kb.dataprotection.education/best-practice-library/documents/drip-feeds/57-dpe-quick-reference-guide" TargetMode="External"/><Relationship Id="rId14" Type="http://schemas.openxmlformats.org/officeDocument/2006/relationships/hyperlink" Target="https://kb.dataprotection.education/index.php/best-practice-library/best-practice/freedom-of-information" TargetMode="External"/><Relationship Id="rId17" Type="http://schemas.openxmlformats.org/officeDocument/2006/relationships/header" Target="header1.xml"/><Relationship Id="rId16" Type="http://schemas.openxmlformats.org/officeDocument/2006/relationships/hyperlink" Target="https://kb.dataprotection.education/news-top/news/94-siteupdates/175-record-of-processing-rop-supporting-inform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index.php/best-practice-library/best-practice/coronavir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AMUW2mXf4yZYyfPY8gebt1xf3s5ipbYOAPEkEKIfbWoK4Lci1VaDznEuUxtxL30QUyS5Mb35nrF/o/wgaHqNTWRXx9XyHsZ83qekq3gY5IhFg5Q+3DLl5/w=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