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color w:val="4bacc6"/>
          <w:sz w:val="32"/>
          <w:szCs w:val="32"/>
        </w:rPr>
      </w:pPr>
      <w:r w:rsidDel="00000000" w:rsidR="00000000" w:rsidRPr="00000000">
        <w:rPr>
          <w:color w:val="4bacc6"/>
          <w:sz w:val="32"/>
          <w:szCs w:val="32"/>
          <w:rtl w:val="0"/>
        </w:rPr>
        <w:t xml:space="preserve">School: Swallowtail Federation   Date: 13/10/2021</w:t>
      </w:r>
    </w:p>
    <w:p w:rsidR="00000000" w:rsidDel="00000000" w:rsidP="00000000" w:rsidRDefault="00000000" w:rsidRPr="00000000" w14:paraId="00000002">
      <w:pPr>
        <w:pStyle w:val="Heading2"/>
        <w:rPr>
          <w:rFonts w:ascii="Calibri" w:cs="Calibri" w:eastAsia="Calibri" w:hAnsi="Calibri"/>
          <w:sz w:val="22"/>
          <w:szCs w:val="22"/>
        </w:rPr>
      </w:pPr>
      <w:r w:rsidDel="00000000" w:rsidR="00000000" w:rsidRPr="00000000">
        <w:rPr>
          <w:rFonts w:ascii="Calibri" w:cs="Calibri" w:eastAsia="Calibri" w:hAnsi="Calibri"/>
          <w:b w:val="1"/>
          <w:color w:val="0591b4"/>
          <w:sz w:val="32"/>
          <w:szCs w:val="32"/>
          <w:rtl w:val="0"/>
        </w:rPr>
        <w:t xml:space="preserve">Report: </w:t>
      </w:r>
      <w:r w:rsidDel="00000000" w:rsidR="00000000" w:rsidRPr="00000000">
        <w:rPr>
          <w:rFonts w:ascii="Calibri" w:cs="Calibri" w:eastAsia="Calibri" w:hAnsi="Calibri"/>
          <w:b w:val="1"/>
          <w:sz w:val="32"/>
          <w:szCs w:val="32"/>
          <w:rtl w:val="0"/>
        </w:rPr>
        <w:t xml:space="preserve"> </w:t>
      </w:r>
      <w:r w:rsidDel="00000000" w:rsidR="00000000" w:rsidRPr="00000000">
        <w:rPr>
          <w:rFonts w:ascii="Calibri" w:cs="Calibri" w:eastAsia="Calibri" w:hAnsi="Calibri"/>
          <w:color w:val="0591b4"/>
          <w:sz w:val="32"/>
          <w:szCs w:val="32"/>
          <w:rtl w:val="0"/>
        </w:rPr>
        <w:t xml:space="preserve"> Remote consultation</w:t>
      </w:r>
      <w:r w:rsidDel="00000000" w:rsidR="00000000" w:rsidRPr="00000000">
        <w:rPr>
          <w:rFonts w:ascii="Calibri" w:cs="Calibri" w:eastAsia="Calibri" w:hAnsi="Calibri"/>
          <w:b w:val="1"/>
          <w:sz w:val="32"/>
          <w:szCs w:val="32"/>
          <w:rtl w:val="0"/>
        </w:rPr>
        <w:t xml:space="preserve">      </w:t>
      </w:r>
      <w:r w:rsidDel="00000000" w:rsidR="00000000" w:rsidRPr="00000000">
        <w:rPr>
          <w:rFonts w:ascii="Calibri" w:cs="Calibri" w:eastAsia="Calibri" w:hAnsi="Calibri"/>
          <w:b w:val="1"/>
          <w:color w:val="0591b4"/>
          <w:sz w:val="32"/>
          <w:szCs w:val="32"/>
          <w:rtl w:val="0"/>
        </w:rPr>
        <w:t xml:space="preserve">DPE:</w:t>
      </w:r>
      <w:r w:rsidDel="00000000" w:rsidR="00000000" w:rsidRPr="00000000">
        <w:rPr>
          <w:rFonts w:ascii="Calibri" w:cs="Calibri" w:eastAsia="Calibri" w:hAnsi="Calibri"/>
          <w:color w:val="0591b4"/>
          <w:sz w:val="32"/>
          <w:szCs w:val="32"/>
          <w:rtl w:val="0"/>
        </w:rPr>
        <w:t xml:space="preserve"> Stuart Lee    </w:t>
      </w:r>
      <w:r w:rsidDel="00000000" w:rsidR="00000000" w:rsidRPr="00000000">
        <w:rPr>
          <w:rFonts w:ascii="Calibri" w:cs="Calibri" w:eastAsia="Calibri" w:hAnsi="Calibri"/>
          <w:b w:val="1"/>
          <w:color w:val="0591b4"/>
          <w:sz w:val="32"/>
          <w:szCs w:val="32"/>
          <w:rtl w:val="0"/>
        </w:rPr>
        <w:t xml:space="preserve">School member:</w:t>
      </w:r>
      <w:r w:rsidDel="00000000" w:rsidR="00000000" w:rsidRPr="00000000">
        <w:rPr>
          <w:rFonts w:ascii="Calibri" w:cs="Calibri" w:eastAsia="Calibri" w:hAnsi="Calibri"/>
          <w:color w:val="0591b4"/>
          <w:sz w:val="32"/>
          <w:szCs w:val="32"/>
          <w:rtl w:val="0"/>
        </w:rPr>
        <w:t xml:space="preserve"> Jo Weadon</w:t>
      </w:r>
      <w:r w:rsidDel="00000000" w:rsidR="00000000" w:rsidRPr="00000000">
        <w:rPr>
          <w:rtl w:val="0"/>
        </w:rPr>
      </w:r>
    </w:p>
    <w:p w:rsidR="00000000" w:rsidDel="00000000" w:rsidP="00000000" w:rsidRDefault="00000000" w:rsidRPr="00000000" w14:paraId="00000003">
      <w:pPr>
        <w:jc w:val="both"/>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Consultation details</w:t>
      </w:r>
    </w:p>
    <w:p w:rsidR="00000000" w:rsidDel="00000000" w:rsidP="00000000" w:rsidRDefault="00000000" w:rsidRPr="00000000" w14:paraId="00000005">
      <w:pPr>
        <w:numPr>
          <w:ilvl w:val="0"/>
          <w:numId w:val="6"/>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DPE website/best practice including: staffing changes and training</w:t>
      </w:r>
      <w:r w:rsidDel="00000000" w:rsidR="00000000" w:rsidRPr="00000000">
        <w:rPr>
          <w:rtl w:val="0"/>
        </w:rPr>
      </w:r>
    </w:p>
    <w:p w:rsidR="00000000" w:rsidDel="00000000" w:rsidP="00000000" w:rsidRDefault="00000000" w:rsidRPr="00000000" w14:paraId="00000006">
      <w:pPr>
        <w:numPr>
          <w:ilvl w:val="0"/>
          <w:numId w:val="6"/>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Compliance (documents) and checklists</w:t>
      </w:r>
      <w:r w:rsidDel="00000000" w:rsidR="00000000" w:rsidRPr="00000000">
        <w:rPr>
          <w:rtl w:val="0"/>
        </w:rPr>
      </w:r>
    </w:p>
    <w:p w:rsidR="00000000" w:rsidDel="00000000" w:rsidP="00000000" w:rsidRDefault="00000000" w:rsidRPr="00000000" w14:paraId="00000007">
      <w:pPr>
        <w:numPr>
          <w:ilvl w:val="0"/>
          <w:numId w:val="6"/>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Information security - best practice area, phishing simulation and e-learning training </w:t>
      </w:r>
      <w:r w:rsidDel="00000000" w:rsidR="00000000" w:rsidRPr="00000000">
        <w:rPr>
          <w:rtl w:val="0"/>
        </w:rPr>
      </w:r>
    </w:p>
    <w:p w:rsidR="00000000" w:rsidDel="00000000" w:rsidP="00000000" w:rsidRDefault="00000000" w:rsidRPr="00000000" w14:paraId="00000008">
      <w:pPr>
        <w:numPr>
          <w:ilvl w:val="0"/>
          <w:numId w:val="6"/>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Electronic internal audit (making the rounds)</w:t>
      </w:r>
    </w:p>
    <w:p w:rsidR="00000000" w:rsidDel="00000000" w:rsidP="00000000" w:rsidRDefault="00000000" w:rsidRPr="00000000" w14:paraId="00000009">
      <w:pPr>
        <w:numPr>
          <w:ilvl w:val="0"/>
          <w:numId w:val="6"/>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retention/redaction for electronic data</w:t>
      </w:r>
    </w:p>
    <w:p w:rsidR="00000000" w:rsidDel="00000000" w:rsidP="00000000" w:rsidRDefault="00000000" w:rsidRPr="00000000" w14:paraId="0000000A">
      <w:pPr>
        <w:numPr>
          <w:ilvl w:val="0"/>
          <w:numId w:val="6"/>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Record of processing (RoP) update and next steps</w:t>
      </w:r>
      <w:r w:rsidDel="00000000" w:rsidR="00000000" w:rsidRPr="00000000">
        <w:rPr>
          <w:rtl w:val="0"/>
        </w:rPr>
      </w:r>
    </w:p>
    <w:p w:rsidR="00000000" w:rsidDel="00000000" w:rsidP="00000000" w:rsidRDefault="00000000" w:rsidRPr="00000000" w14:paraId="0000000B">
      <w:pPr>
        <w:shd w:fill="ffffff" w:val="clea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Outstanding actions from the Spring consultation have been completed; internal audit walk completed using the electronic making the rounds app; privacy notices/policy updated; continuing to rollout GDPR training to all staff, including Jo completing a GDPR awareness session during the Sept 21 INSET. </w:t>
      </w:r>
    </w:p>
    <w:p w:rsidR="00000000" w:rsidDel="00000000" w:rsidP="00000000" w:rsidRDefault="00000000" w:rsidRPr="00000000" w14:paraId="0000000D">
      <w:pPr>
        <w:shd w:fill="ffffff" w:val="clea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E">
      <w:pPr>
        <w:shd w:fill="ffffff" w:val="clea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Note: </w:t>
      </w:r>
      <w:r w:rsidDel="00000000" w:rsidR="00000000" w:rsidRPr="00000000">
        <w:rPr>
          <w:rFonts w:ascii="Calibri" w:cs="Calibri" w:eastAsia="Calibri" w:hAnsi="Calibri"/>
          <w:sz w:val="24"/>
          <w:szCs w:val="24"/>
          <w:rtl w:val="0"/>
        </w:rPr>
        <w:t xml:space="preserve">the federation is currently updating documentation onto the new federation website. </w:t>
      </w:r>
    </w:p>
    <w:p w:rsidR="00000000" w:rsidDel="00000000" w:rsidP="00000000" w:rsidRDefault="00000000" w:rsidRPr="00000000" w14:paraId="0000000F">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Priorities and discussions from the October consultation are detailed below:</w:t>
      </w:r>
    </w:p>
    <w:p w:rsidR="00000000" w:rsidDel="00000000" w:rsidP="00000000" w:rsidRDefault="00000000" w:rsidRPr="00000000" w14:paraId="00000010">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1">
      <w:pPr>
        <w:numPr>
          <w:ilvl w:val="0"/>
          <w:numId w:val="3"/>
        </w:numPr>
        <w:ind w:left="720" w:hanging="360"/>
        <w:jc w:val="both"/>
        <w:rPr>
          <w:rFonts w:ascii="Calibri" w:cs="Calibri" w:eastAsia="Calibri" w:hAnsi="Calibri"/>
          <w:b w:val="1"/>
          <w:color w:val="0591b4"/>
          <w:sz w:val="32"/>
          <w:szCs w:val="32"/>
          <w:u w:val="none"/>
        </w:rPr>
      </w:pPr>
      <w:r w:rsidDel="00000000" w:rsidR="00000000" w:rsidRPr="00000000">
        <w:rPr>
          <w:rFonts w:ascii="Calibri" w:cs="Calibri" w:eastAsia="Calibri" w:hAnsi="Calibri"/>
          <w:b w:val="1"/>
          <w:color w:val="0591b4"/>
          <w:sz w:val="32"/>
          <w:szCs w:val="32"/>
          <w:rtl w:val="0"/>
        </w:rPr>
        <w:t xml:space="preserve">DPE website/best practice including staffing changes and training</w:t>
      </w:r>
    </w:p>
    <w:p w:rsidR="00000000" w:rsidDel="00000000" w:rsidP="00000000" w:rsidRDefault="00000000" w:rsidRPr="00000000" w14:paraId="00000012">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 </w:t>
      </w:r>
    </w:p>
    <w:p w:rsidR="00000000" w:rsidDel="00000000" w:rsidP="00000000" w:rsidRDefault="00000000" w:rsidRPr="00000000" w14:paraId="00000013">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 up new staff on the DPE website and delete leavers: DPE dashboard&gt;users&gt;add staff, either manually or bulk import.</w:t>
      </w:r>
      <w:r w:rsidDel="00000000" w:rsidR="00000000" w:rsidRPr="00000000">
        <w:rPr>
          <w:rFonts w:ascii="Calibri" w:cs="Calibri" w:eastAsia="Calibri" w:hAnsi="Calibri"/>
          <w:color w:val="595959"/>
          <w:sz w:val="24"/>
          <w:szCs w:val="24"/>
          <w:rtl w:val="0"/>
        </w:rPr>
        <w:t xml:space="preserve"> </w:t>
      </w:r>
      <w:r w:rsidDel="00000000" w:rsidR="00000000" w:rsidRPr="00000000">
        <w:rPr>
          <w:rFonts w:ascii="Calibri" w:cs="Calibri" w:eastAsia="Calibri" w:hAnsi="Calibri"/>
          <w:sz w:val="24"/>
          <w:szCs w:val="24"/>
          <w:rtl w:val="0"/>
        </w:rPr>
        <w:t xml:space="preserve">Kalina at DPE (client support) is here to help you and can be contacted for support at: kalina.voyvodova@dataprotection.education.</w:t>
      </w:r>
    </w:p>
    <w:p w:rsidR="00000000" w:rsidDel="00000000" w:rsidP="00000000" w:rsidRDefault="00000000" w:rsidRPr="00000000" w14:paraId="00000014">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there have been some security concerns within the sector consider staff completing the DPE NCSC stay safe online training.</w:t>
      </w:r>
    </w:p>
    <w:p w:rsidR="00000000" w:rsidDel="00000000" w:rsidP="00000000" w:rsidRDefault="00000000" w:rsidRPr="00000000" w14:paraId="00000015">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GDPR refresh training should ideally be completed every 2 years. Jo is currently following up with staff yet to complete training. Training reports can be run to show who has/has not completed training and staff emailed reminders directly from the DPE website:</w:t>
      </w:r>
    </w:p>
    <w:p w:rsidR="00000000" w:rsidDel="00000000" w:rsidP="00000000" w:rsidRDefault="00000000" w:rsidRPr="00000000" w14:paraId="00000016">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shd w:fill="ffffff" w:val="clear"/>
        <w:jc w:val="both"/>
        <w:rPr>
          <w:b w:val="1"/>
          <w:color w:val="222222"/>
          <w:sz w:val="22"/>
          <w:szCs w:val="22"/>
        </w:rPr>
      </w:pPr>
      <w:r w:rsidDel="00000000" w:rsidR="00000000" w:rsidRPr="00000000">
        <w:rPr>
          <w:b w:val="1"/>
          <w:color w:val="222222"/>
          <w:sz w:val="22"/>
          <w:szCs w:val="22"/>
          <w:rtl w:val="0"/>
        </w:rPr>
        <w:t xml:space="preserve">Assigning Courses to Staff</w:t>
      </w:r>
      <w:r w:rsidDel="00000000" w:rsidR="00000000" w:rsidRPr="00000000">
        <w:rPr>
          <w:color w:val="222222"/>
          <w:sz w:val="22"/>
          <w:szCs w:val="22"/>
          <w:rtl w:val="0"/>
        </w:rPr>
        <w:t xml:space="preserve">: Navigate from </w:t>
      </w:r>
      <w:r w:rsidDel="00000000" w:rsidR="00000000" w:rsidRPr="00000000">
        <w:rPr>
          <w:b w:val="1"/>
          <w:color w:val="222222"/>
          <w:sz w:val="22"/>
          <w:szCs w:val="22"/>
          <w:rtl w:val="0"/>
        </w:rPr>
        <w:t xml:space="preserve">Dashboard</w:t>
      </w:r>
      <w:r w:rsidDel="00000000" w:rsidR="00000000" w:rsidRPr="00000000">
        <w:rPr>
          <w:color w:val="222222"/>
          <w:sz w:val="22"/>
          <w:szCs w:val="22"/>
          <w:rtl w:val="0"/>
        </w:rPr>
        <w:t xml:space="preserve"> - scroll down to </w:t>
      </w:r>
      <w:r w:rsidDel="00000000" w:rsidR="00000000" w:rsidRPr="00000000">
        <w:rPr>
          <w:b w:val="1"/>
          <w:color w:val="222222"/>
          <w:sz w:val="22"/>
          <w:szCs w:val="22"/>
          <w:rtl w:val="0"/>
        </w:rPr>
        <w:t xml:space="preserve">Administration</w:t>
      </w:r>
      <w:r w:rsidDel="00000000" w:rsidR="00000000" w:rsidRPr="00000000">
        <w:rPr>
          <w:color w:val="222222"/>
          <w:sz w:val="22"/>
          <w:szCs w:val="22"/>
          <w:rtl w:val="0"/>
        </w:rPr>
        <w:t xml:space="preserve"> - </w:t>
      </w:r>
      <w:r w:rsidDel="00000000" w:rsidR="00000000" w:rsidRPr="00000000">
        <w:rPr>
          <w:b w:val="1"/>
          <w:color w:val="222222"/>
          <w:sz w:val="22"/>
          <w:szCs w:val="22"/>
          <w:rtl w:val="0"/>
        </w:rPr>
        <w:t xml:space="preserve">Reports </w:t>
      </w:r>
      <w:r w:rsidDel="00000000" w:rsidR="00000000" w:rsidRPr="00000000">
        <w:rPr>
          <w:color w:val="222222"/>
          <w:sz w:val="22"/>
          <w:szCs w:val="22"/>
          <w:rtl w:val="0"/>
        </w:rPr>
        <w:t xml:space="preserve">select </w:t>
      </w:r>
      <w:r w:rsidDel="00000000" w:rsidR="00000000" w:rsidRPr="00000000">
        <w:rPr>
          <w:b w:val="1"/>
          <w:color w:val="222222"/>
          <w:sz w:val="22"/>
          <w:szCs w:val="22"/>
          <w:rtl w:val="0"/>
        </w:rPr>
        <w:t xml:space="preserve">Course Enrolment</w:t>
      </w:r>
      <w:r w:rsidDel="00000000" w:rsidR="00000000" w:rsidRPr="00000000">
        <w:rPr>
          <w:color w:val="222222"/>
          <w:sz w:val="22"/>
          <w:szCs w:val="22"/>
          <w:rtl w:val="0"/>
        </w:rPr>
        <w:t xml:space="preserve"> from drop down - 1) </w:t>
      </w:r>
      <w:r w:rsidDel="00000000" w:rsidR="00000000" w:rsidRPr="00000000">
        <w:rPr>
          <w:b w:val="1"/>
          <w:color w:val="222222"/>
          <w:sz w:val="22"/>
          <w:szCs w:val="22"/>
          <w:rtl w:val="0"/>
        </w:rPr>
        <w:t xml:space="preserve">Select course eg. GDPR Refresh - 2) School,3)  Incomplete, 4) Unenrolled. </w:t>
      </w:r>
    </w:p>
    <w:p w:rsidR="00000000" w:rsidDel="00000000" w:rsidP="00000000" w:rsidRDefault="00000000" w:rsidRPr="00000000" w14:paraId="00000018">
      <w:pPr>
        <w:shd w:fill="ffffff" w:val="clear"/>
        <w:jc w:val="both"/>
        <w:rPr>
          <w:color w:val="1155cc"/>
          <w:sz w:val="22"/>
          <w:szCs w:val="22"/>
          <w:u w:val="single"/>
        </w:rPr>
      </w:pPr>
      <w:r w:rsidDel="00000000" w:rsidR="00000000" w:rsidRPr="00000000">
        <w:rPr>
          <w:b w:val="1"/>
          <w:color w:val="222222"/>
          <w:sz w:val="22"/>
          <w:szCs w:val="22"/>
          <w:rtl w:val="0"/>
        </w:rPr>
        <w:t xml:space="preserve">Tick off the box on top left of the list to select all staff and click on Send Email blue button on top of page. Type in your message (no pre-selected text): for example instructions - go to www.dataprotection.education, login and go to My Activities - My Courses - Start Course or copy and paste link to GDPR Refresh:  </w:t>
      </w:r>
      <w:hyperlink r:id="rId6">
        <w:r w:rsidDel="00000000" w:rsidR="00000000" w:rsidRPr="00000000">
          <w:rPr>
            <w:color w:val="1155cc"/>
            <w:sz w:val="22"/>
            <w:szCs w:val="22"/>
            <w:u w:val="single"/>
            <w:rtl w:val="0"/>
          </w:rPr>
          <w:t xml:space="preserve">https://dataprotection.education/courses-heading/gdpr-refresh</w:t>
        </w:r>
      </w:hyperlink>
      <w:r w:rsidDel="00000000" w:rsidR="00000000" w:rsidRPr="00000000">
        <w:rPr>
          <w:rtl w:val="0"/>
        </w:rPr>
      </w:r>
    </w:p>
    <w:p w:rsidR="00000000" w:rsidDel="00000000" w:rsidP="00000000" w:rsidRDefault="00000000" w:rsidRPr="00000000" w14:paraId="00000019">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numPr>
          <w:ilvl w:val="0"/>
          <w:numId w:val="3"/>
        </w:numPr>
        <w:ind w:left="720" w:hanging="360"/>
        <w:jc w:val="both"/>
        <w:rPr>
          <w:rFonts w:ascii="Calibri" w:cs="Calibri" w:eastAsia="Calibri" w:hAnsi="Calibri"/>
          <w:b w:val="1"/>
          <w:color w:val="0591b4"/>
          <w:sz w:val="32"/>
          <w:szCs w:val="32"/>
          <w:u w:val="none"/>
        </w:rPr>
      </w:pPr>
      <w:r w:rsidDel="00000000" w:rsidR="00000000" w:rsidRPr="00000000">
        <w:rPr>
          <w:rFonts w:ascii="Calibri" w:cs="Calibri" w:eastAsia="Calibri" w:hAnsi="Calibri"/>
          <w:b w:val="1"/>
          <w:color w:val="0591b4"/>
          <w:sz w:val="32"/>
          <w:szCs w:val="32"/>
          <w:rtl w:val="0"/>
        </w:rPr>
        <w:t xml:space="preserve">Compliance checklist and documents </w:t>
      </w:r>
    </w:p>
    <w:p w:rsidR="00000000" w:rsidDel="00000000" w:rsidP="00000000" w:rsidRDefault="00000000" w:rsidRPr="00000000" w14:paraId="00000020">
      <w:pPr>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The compliance best practice area/checklist (</w:t>
      </w:r>
      <w:hyperlink r:id="rId7">
        <w:r w:rsidDel="00000000" w:rsidR="00000000" w:rsidRPr="00000000">
          <w:rPr>
            <w:rFonts w:ascii="Calibri" w:cs="Calibri" w:eastAsia="Calibri" w:hAnsi="Calibri"/>
            <w:color w:val="0563c1"/>
            <w:sz w:val="24"/>
            <w:szCs w:val="24"/>
            <w:u w:val="single"/>
            <w:rtl w:val="0"/>
          </w:rPr>
          <w:t xml:space="preserve">https://dataprotection.education/index.php/best-practice-library/best-practice/commitment-to-compliance</w:t>
        </w:r>
      </w:hyperlink>
      <w:r w:rsidDel="00000000" w:rsidR="00000000" w:rsidRPr="00000000">
        <w:rPr>
          <w:rFonts w:ascii="Calibri" w:cs="Calibri" w:eastAsia="Calibri" w:hAnsi="Calibri"/>
          <w:sz w:val="24"/>
          <w:szCs w:val="24"/>
          <w:rtl w:val="0"/>
        </w:rPr>
        <w:t xml:space="preserve">) can be used to manage progress, print off reports for Trustees/Governors and support consultants during visits/remote consultations. </w:t>
      </w:r>
      <w:r w:rsidDel="00000000" w:rsidR="00000000" w:rsidRPr="00000000">
        <w:rPr>
          <w:rFonts w:ascii="Calibri" w:cs="Calibri" w:eastAsia="Calibri" w:hAnsi="Calibri"/>
          <w:b w:val="1"/>
          <w:sz w:val="24"/>
          <w:szCs w:val="24"/>
          <w:rtl w:val="0"/>
        </w:rPr>
        <w:t xml:space="preserve">Updated with Jo during the consultation</w:t>
      </w:r>
    </w:p>
    <w:p w:rsidR="00000000" w:rsidDel="00000000" w:rsidP="00000000" w:rsidRDefault="00000000" w:rsidRPr="00000000" w14:paraId="00000021">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Ideally you will now have the following documents displayed on the federation website:</w:t>
      </w:r>
    </w:p>
    <w:p w:rsidR="00000000" w:rsidDel="00000000" w:rsidP="00000000" w:rsidRDefault="00000000" w:rsidRPr="00000000" w14:paraId="00000022">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protection policy</w:t>
      </w:r>
    </w:p>
    <w:p w:rsidR="00000000" w:rsidDel="00000000" w:rsidP="00000000" w:rsidRDefault="00000000" w:rsidRPr="00000000" w14:paraId="00000023">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Privacy notices; general; pupils; child friendly notice; workforce (or display workforce notice internally)</w:t>
      </w:r>
    </w:p>
    <w:p w:rsidR="00000000" w:rsidDel="00000000" w:rsidP="00000000" w:rsidRDefault="00000000" w:rsidRPr="00000000" w14:paraId="00000024">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SAR and data breach procedure</w:t>
      </w:r>
    </w:p>
    <w:p w:rsidR="00000000" w:rsidDel="00000000" w:rsidP="00000000" w:rsidRDefault="00000000" w:rsidRPr="00000000" w14:paraId="00000025">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Consent guidance and withdrawal form</w:t>
      </w:r>
    </w:p>
    <w:p w:rsidR="00000000" w:rsidDel="00000000" w:rsidP="00000000" w:rsidRDefault="00000000" w:rsidRPr="00000000" w14:paraId="00000026">
      <w:pPr>
        <w:numPr>
          <w:ilvl w:val="0"/>
          <w:numId w:val="2"/>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Publication scheme: </w:t>
      </w:r>
      <w:r w:rsidDel="00000000" w:rsidR="00000000" w:rsidRPr="00000000">
        <w:rPr>
          <w:rFonts w:ascii="Calibri" w:cs="Calibri" w:eastAsia="Calibri" w:hAnsi="Calibri"/>
          <w:sz w:val="24"/>
          <w:szCs w:val="24"/>
          <w:rtl w:val="0"/>
        </w:rPr>
        <w:t xml:space="preserve">Check to identify if the federation has a publication scheme and FOI policy. </w:t>
      </w:r>
      <w:r w:rsidDel="00000000" w:rsidR="00000000" w:rsidRPr="00000000">
        <w:rPr>
          <w:rFonts w:ascii="Calibri" w:cs="Calibri" w:eastAsia="Calibri" w:hAnsi="Calibri"/>
          <w:b w:val="1"/>
          <w:color w:val="595959"/>
          <w:sz w:val="24"/>
          <w:szCs w:val="24"/>
          <w:rtl w:val="0"/>
        </w:rPr>
        <w:t xml:space="preserve">The updated guidance can be obtained from: </w:t>
      </w:r>
      <w:hyperlink r:id="rId8">
        <w:r w:rsidDel="00000000" w:rsidR="00000000" w:rsidRPr="00000000">
          <w:rPr>
            <w:rFonts w:ascii="Calibri" w:cs="Calibri" w:eastAsia="Calibri" w:hAnsi="Calibri"/>
            <w:color w:val="1155cc"/>
            <w:sz w:val="24"/>
            <w:szCs w:val="24"/>
            <w:u w:val="single"/>
            <w:rtl w:val="0"/>
          </w:rPr>
          <w:t xml:space="preserve">https://dataprotection.education/news-top/news/83-best-practice-updates/182-model-publication-scheme-amendments-improvements-and-updates</w:t>
        </w:r>
      </w:hyperlink>
      <w:r w:rsidDel="00000000" w:rsidR="00000000" w:rsidRPr="00000000">
        <w:rPr>
          <w:rFonts w:ascii="Calibri" w:cs="Calibri" w:eastAsia="Calibri" w:hAnsi="Calibri"/>
          <w:color w:val="595959"/>
          <w:sz w:val="24"/>
          <w:szCs w:val="24"/>
          <w:rtl w:val="0"/>
        </w:rPr>
        <w:t xml:space="preserve"> </w:t>
      </w:r>
      <w:r w:rsidDel="00000000" w:rsidR="00000000" w:rsidRPr="00000000">
        <w:rPr>
          <w:rtl w:val="0"/>
        </w:rPr>
      </w:r>
    </w:p>
    <w:p w:rsidR="00000000" w:rsidDel="00000000" w:rsidP="00000000" w:rsidRDefault="00000000" w:rsidRPr="00000000" w14:paraId="00000027">
      <w:pPr>
        <w:spacing w:after="120" w:lineRule="auto"/>
        <w:ind w:left="720" w:firstLine="0"/>
        <w:rPr>
          <w:rFonts w:ascii="Calibri" w:cs="Calibri" w:eastAsia="Calibri" w:hAnsi="Calibri"/>
          <w:color w:val="0591b4"/>
          <w:sz w:val="32"/>
          <w:szCs w:val="32"/>
        </w:rPr>
      </w:pPr>
      <w:r w:rsidDel="00000000" w:rsidR="00000000" w:rsidRPr="00000000">
        <w:rPr>
          <w:rFonts w:ascii="Calibri" w:cs="Calibri" w:eastAsia="Calibri" w:hAnsi="Calibri"/>
          <w:color w:val="595959"/>
          <w:sz w:val="24"/>
          <w:szCs w:val="24"/>
          <w:rtl w:val="0"/>
        </w:rPr>
        <w:t xml:space="preserve">Updated publication schemes can be obtained from: </w:t>
      </w:r>
      <w:hyperlink r:id="rId9">
        <w:r w:rsidDel="00000000" w:rsidR="00000000" w:rsidRPr="00000000">
          <w:rPr>
            <w:rFonts w:ascii="Calibri" w:cs="Calibri" w:eastAsia="Calibri" w:hAnsi="Calibri"/>
            <w:color w:val="1155cc"/>
            <w:sz w:val="24"/>
            <w:szCs w:val="24"/>
            <w:u w:val="single"/>
            <w:rtl w:val="0"/>
          </w:rPr>
          <w:t xml:space="preserve">https://kb.dataprotection.education/index.php/best-practice-library/best-practice/freedom-of-information</w:t>
        </w:r>
      </w:hyperlink>
      <w:r w:rsidDel="00000000" w:rsidR="00000000" w:rsidRPr="00000000">
        <w:rPr>
          <w:rtl w:val="0"/>
        </w:rPr>
      </w:r>
    </w:p>
    <w:p w:rsidR="00000000" w:rsidDel="00000000" w:rsidP="00000000" w:rsidRDefault="00000000" w:rsidRPr="00000000" w14:paraId="00000028">
      <w:pPr>
        <w:numPr>
          <w:ilvl w:val="0"/>
          <w:numId w:val="3"/>
        </w:numPr>
        <w:shd w:fill="ffffff" w:val="clear"/>
        <w:ind w:left="720" w:hanging="360"/>
        <w:rPr>
          <w:rFonts w:ascii="Calibri" w:cs="Calibri" w:eastAsia="Calibri" w:hAnsi="Calibri"/>
          <w:b w:val="1"/>
          <w:color w:val="0591b4"/>
          <w:sz w:val="32"/>
          <w:szCs w:val="32"/>
          <w:u w:val="none"/>
        </w:rPr>
      </w:pPr>
      <w:r w:rsidDel="00000000" w:rsidR="00000000" w:rsidRPr="00000000">
        <w:rPr>
          <w:rFonts w:ascii="Calibri" w:cs="Calibri" w:eastAsia="Calibri" w:hAnsi="Calibri"/>
          <w:b w:val="1"/>
          <w:color w:val="0591b4"/>
          <w:sz w:val="32"/>
          <w:szCs w:val="32"/>
          <w:rtl w:val="0"/>
        </w:rPr>
        <w:t xml:space="preserve">Information security - Phishing simulation and NCSC training</w:t>
      </w:r>
      <w:r w:rsidDel="00000000" w:rsidR="00000000" w:rsidRPr="00000000">
        <w:rPr>
          <w:rtl w:val="0"/>
        </w:rPr>
      </w:r>
    </w:p>
    <w:p w:rsidR="00000000" w:rsidDel="00000000" w:rsidP="00000000" w:rsidRDefault="00000000" w:rsidRPr="00000000" w14:paraId="00000029">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educational sector continues to be targeted by cyber criminals. NCC have contacted the federation (Catfield) and asked for an information security questionnaire to be completed. We discussed information security risks and the DPE phishing simulator was discussed. This will be rolled out to schools shortly and will allow the federation to review staff understanding of different types of cyber/phishing attacks and improve practice - available from November 2021.</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numPr>
          <w:ilvl w:val="0"/>
          <w:numId w:val="3"/>
        </w:numPr>
        <w:shd w:fill="ffffff" w:val="clear"/>
        <w:ind w:left="720" w:hanging="360"/>
        <w:rPr>
          <w:rFonts w:ascii="Calibri" w:cs="Calibri" w:eastAsia="Calibri" w:hAnsi="Calibri"/>
          <w:b w:val="1"/>
          <w:color w:val="0591b4"/>
          <w:sz w:val="32"/>
          <w:szCs w:val="32"/>
          <w:u w:val="none"/>
        </w:rPr>
      </w:pPr>
      <w:r w:rsidDel="00000000" w:rsidR="00000000" w:rsidRPr="00000000">
        <w:rPr>
          <w:rFonts w:ascii="Calibri" w:cs="Calibri" w:eastAsia="Calibri" w:hAnsi="Calibri"/>
          <w:b w:val="1"/>
          <w:color w:val="0591b4"/>
          <w:sz w:val="32"/>
          <w:szCs w:val="32"/>
          <w:rtl w:val="0"/>
        </w:rPr>
        <w:t xml:space="preserve">Electronic internal audit (making the rounds)</w:t>
      </w:r>
      <w:r w:rsidDel="00000000" w:rsidR="00000000" w:rsidRPr="00000000">
        <w:rPr>
          <w:rtl w:val="0"/>
        </w:rPr>
      </w:r>
    </w:p>
    <w:p w:rsidR="00000000" w:rsidDel="00000000" w:rsidP="00000000" w:rsidRDefault="00000000" w:rsidRPr="00000000" w14:paraId="0000002C">
      <w:pPr>
        <w:shd w:fill="ffffff" w:val="clear"/>
        <w:ind w:left="0" w:firstLine="0"/>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Jo had completed an electronic data audit walk, which is now logged with audit walk findings being communicated to staff.</w:t>
      </w:r>
      <w:r w:rsidDel="00000000" w:rsidR="00000000" w:rsidRPr="00000000">
        <w:rPr>
          <w:rtl w:val="0"/>
        </w:rPr>
      </w:r>
    </w:p>
    <w:p w:rsidR="00000000" w:rsidDel="00000000" w:rsidP="00000000" w:rsidRDefault="00000000" w:rsidRPr="00000000" w14:paraId="0000002D">
      <w:pPr>
        <w:shd w:fill="ffffff" w:val="clear"/>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2E">
      <w:pPr>
        <w:numPr>
          <w:ilvl w:val="0"/>
          <w:numId w:val="3"/>
        </w:numPr>
        <w:shd w:fill="ffffff" w:val="clear"/>
        <w:ind w:left="720" w:hanging="360"/>
        <w:rPr>
          <w:rFonts w:ascii="Calibri" w:cs="Calibri" w:eastAsia="Calibri" w:hAnsi="Calibri"/>
          <w:b w:val="1"/>
          <w:color w:val="0591b4"/>
          <w:sz w:val="32"/>
          <w:szCs w:val="32"/>
          <w:u w:val="none"/>
        </w:rPr>
      </w:pPr>
      <w:r w:rsidDel="00000000" w:rsidR="00000000" w:rsidRPr="00000000">
        <w:rPr>
          <w:rFonts w:ascii="Calibri" w:cs="Calibri" w:eastAsia="Calibri" w:hAnsi="Calibri"/>
          <w:b w:val="1"/>
          <w:color w:val="0591b4"/>
          <w:sz w:val="32"/>
          <w:szCs w:val="32"/>
          <w:rtl w:val="0"/>
        </w:rPr>
        <w:t xml:space="preserve">Data retention/redaction and electronic data</w:t>
      </w:r>
      <w:r w:rsidDel="00000000" w:rsidR="00000000" w:rsidRPr="00000000">
        <w:rPr>
          <w:rtl w:val="0"/>
        </w:rPr>
      </w:r>
    </w:p>
    <w:p w:rsidR="00000000" w:rsidDel="00000000" w:rsidP="00000000" w:rsidRDefault="00000000" w:rsidRPr="00000000" w14:paraId="0000002F">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federation uses the IRMS toolkit for data retention. Discussed best practice for electronic folders; staff to check electronic folders regularly and periodically complete a data cleanse of electronic folders etc.</w:t>
      </w:r>
    </w:p>
    <w:p w:rsidR="00000000" w:rsidDel="00000000" w:rsidP="00000000" w:rsidRDefault="00000000" w:rsidRPr="00000000" w14:paraId="00000030">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 now has a redaction tool that can be used to support subject access requests: </w:t>
      </w:r>
      <w:hyperlink r:id="rId10">
        <w:r w:rsidDel="00000000" w:rsidR="00000000" w:rsidRPr="00000000">
          <w:rPr>
            <w:rFonts w:ascii="Calibri" w:cs="Calibri" w:eastAsia="Calibri" w:hAnsi="Calibri"/>
            <w:color w:val="1155cc"/>
            <w:sz w:val="24"/>
            <w:szCs w:val="24"/>
            <w:u w:val="single"/>
            <w:rtl w:val="0"/>
          </w:rPr>
          <w:t xml:space="preserve">https://dataprotection.education/com-tjvendors-tjnotifications-menu/document-redaction-tool/pdftron?tmpl=component</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2">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numPr>
          <w:ilvl w:val="0"/>
          <w:numId w:val="3"/>
        </w:numPr>
        <w:ind w:left="720" w:hanging="360"/>
        <w:jc w:val="both"/>
        <w:rPr>
          <w:rFonts w:ascii="Calibri" w:cs="Calibri" w:eastAsia="Calibri" w:hAnsi="Calibri"/>
          <w:b w:val="1"/>
          <w:color w:val="0591b4"/>
          <w:sz w:val="32"/>
          <w:szCs w:val="32"/>
          <w:u w:val="none"/>
        </w:rPr>
      </w:pPr>
      <w:r w:rsidDel="00000000" w:rsidR="00000000" w:rsidRPr="00000000">
        <w:rPr>
          <w:rFonts w:ascii="Calibri" w:cs="Calibri" w:eastAsia="Calibri" w:hAnsi="Calibri"/>
          <w:b w:val="1"/>
          <w:color w:val="0591b4"/>
          <w:sz w:val="32"/>
          <w:szCs w:val="32"/>
          <w:rtl w:val="0"/>
        </w:rPr>
        <w:t xml:space="preserve">Record of Processing (RoP) - and DPE methodology </w:t>
      </w:r>
      <w:r w:rsidDel="00000000" w:rsidR="00000000" w:rsidRPr="00000000">
        <w:rPr>
          <w:rtl w:val="0"/>
        </w:rPr>
      </w:r>
    </w:p>
    <w:p w:rsidR="00000000" w:rsidDel="00000000" w:rsidP="00000000" w:rsidRDefault="00000000" w:rsidRPr="00000000" w14:paraId="00000035">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will continue to work with you and demonstrate how the RoP can be adapted to reflect your school’s individual practice. </w:t>
      </w:r>
    </w:p>
    <w:p w:rsidR="00000000" w:rsidDel="00000000" w:rsidP="00000000" w:rsidRDefault="00000000" w:rsidRPr="00000000" w14:paraId="00000036">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1</w:t>
      </w:r>
      <w:r w:rsidDel="00000000" w:rsidR="00000000" w:rsidRPr="00000000">
        <w:rPr>
          <w:rFonts w:ascii="Calibri" w:cs="Calibri" w:eastAsia="Calibri" w:hAnsi="Calibri"/>
          <w:sz w:val="24"/>
          <w:szCs w:val="24"/>
          <w:rtl w:val="0"/>
        </w:rPr>
        <w:t xml:space="preserve"> - a general introduction to the RoP tool with a brief overview of the generic process relating to financial/management of the school. </w:t>
      </w:r>
    </w:p>
    <w:p w:rsidR="00000000" w:rsidDel="00000000" w:rsidP="00000000" w:rsidRDefault="00000000" w:rsidRPr="00000000" w14:paraId="00000037">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2</w:t>
      </w:r>
      <w:r w:rsidDel="00000000" w:rsidR="00000000" w:rsidRPr="00000000">
        <w:rPr>
          <w:rFonts w:ascii="Calibri" w:cs="Calibri" w:eastAsia="Calibri" w:hAnsi="Calibri"/>
          <w:sz w:val="24"/>
          <w:szCs w:val="24"/>
          <w:rtl w:val="0"/>
        </w:rPr>
        <w:t xml:space="preserve">- a more in depth look at the RoP with key process owners and how completing the master lists will ensure the school reflects the technical measures and procedures it has in place to safeguard personal data.  </w:t>
      </w:r>
    </w:p>
    <w:p w:rsidR="00000000" w:rsidDel="00000000" w:rsidP="00000000" w:rsidRDefault="00000000" w:rsidRPr="00000000" w14:paraId="00000038">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3</w:t>
      </w:r>
      <w:r w:rsidDel="00000000" w:rsidR="00000000" w:rsidRPr="00000000">
        <w:rPr>
          <w:rFonts w:ascii="Calibri" w:cs="Calibri" w:eastAsia="Calibri" w:hAnsi="Calibri"/>
          <w:sz w:val="24"/>
          <w:szCs w:val="24"/>
          <w:rtl w:val="0"/>
        </w:rPr>
        <w:t xml:space="preserve"> – online workshops and group sessions to support schools with further individual sessions as needed.</w:t>
      </w:r>
    </w:p>
    <w:p w:rsidR="00000000" w:rsidDel="00000000" w:rsidP="00000000" w:rsidRDefault="00000000" w:rsidRPr="00000000" w14:paraId="00000039">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a number of reporting functions i.e. risk reports will shortly be available. </w:t>
      </w:r>
    </w:p>
    <w:p w:rsidR="00000000" w:rsidDel="00000000" w:rsidP="00000000" w:rsidRDefault="00000000" w:rsidRPr="00000000" w14:paraId="0000003A">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DPE to continue populating generic RoPs and contact the federation for a RoP specific remote consultation for later this term/Spring term. </w:t>
      </w:r>
      <w:r w:rsidDel="00000000" w:rsidR="00000000" w:rsidRPr="00000000">
        <w:rPr>
          <w:rtl w:val="0"/>
        </w:rPr>
      </w:r>
    </w:p>
    <w:p w:rsidR="00000000" w:rsidDel="00000000" w:rsidP="00000000" w:rsidRDefault="00000000" w:rsidRPr="00000000" w14:paraId="0000003B">
      <w:pPr>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sz w:val="22"/>
          <w:szCs w:val="22"/>
        </w:rPr>
      </w:pPr>
      <w:r w:rsidDel="00000000" w:rsidR="00000000" w:rsidRPr="00000000">
        <w:rPr>
          <w:rtl w:val="0"/>
        </w:rPr>
      </w:r>
    </w:p>
    <w:sectPr>
      <w:headerReference r:id="rId11"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rPr/>
    </w:pPr>
    <w:r w:rsidDel="00000000" w:rsidR="00000000" w:rsidRPr="00000000">
      <w:rPr/>
      <w:drawing>
        <wp:inline distB="0" distT="0" distL="114300" distR="114300">
          <wp:extent cx="2552700" cy="685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ataprotection.education/com-tjvendors-tjnotifications-menu/document-redaction-tool/pdftron?tmpl=component" TargetMode="External"/><Relationship Id="rId9" Type="http://schemas.openxmlformats.org/officeDocument/2006/relationships/hyperlink" Target="https://kb.dataprotection.education/index.php/best-practice-library/best-practice/freedom-of-information" TargetMode="External"/><Relationship Id="rId5" Type="http://schemas.openxmlformats.org/officeDocument/2006/relationships/styles" Target="styles.xml"/><Relationship Id="rId6" Type="http://schemas.openxmlformats.org/officeDocument/2006/relationships/hyperlink" Target="https://dataprotection.education/courses-heading/gdpr-refresh" TargetMode="External"/><Relationship Id="rId7" Type="http://schemas.openxmlformats.org/officeDocument/2006/relationships/hyperlink" Target="https://dataprotection.education/index.php/best-practice-library/best-practice/commitment-to-compliance" TargetMode="External"/><Relationship Id="rId8" Type="http://schemas.openxmlformats.org/officeDocument/2006/relationships/hyperlink" Target="https://dataprotection.education/news-top/news/83-best-practice-updates/182-model-publication-scheme-amendments-improvements-and-updat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