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67ECD7C5" w:rsidR="009F6F6A" w:rsidRDefault="00E1402A" w:rsidP="00F235AC">
      <w:pPr>
        <w:pStyle w:val="Heading2"/>
        <w:rPr>
          <w:color w:val="4BACC6"/>
          <w:sz w:val="32"/>
          <w:szCs w:val="32"/>
        </w:rPr>
      </w:pPr>
      <w:r>
        <w:rPr>
          <w:color w:val="4BACC6"/>
          <w:sz w:val="32"/>
          <w:szCs w:val="32"/>
        </w:rPr>
        <w:t>School:</w:t>
      </w:r>
      <w:r w:rsidR="00A24298">
        <w:rPr>
          <w:color w:val="4BACC6"/>
          <w:sz w:val="32"/>
          <w:szCs w:val="32"/>
        </w:rPr>
        <w:tab/>
        <w:t>Hingham</w:t>
      </w:r>
      <w:r w:rsidR="002333D0">
        <w:rPr>
          <w:color w:val="4BACC6"/>
          <w:sz w:val="32"/>
          <w:szCs w:val="32"/>
        </w:rPr>
        <w:t xml:space="preserve"> Primary</w:t>
      </w:r>
      <w:r w:rsidR="004046C3">
        <w:rPr>
          <w:color w:val="4BACC6"/>
          <w:sz w:val="32"/>
          <w:szCs w:val="32"/>
        </w:rPr>
        <w:t xml:space="preserve"> School</w:t>
      </w:r>
      <w:r>
        <w:rPr>
          <w:color w:val="4BACC6"/>
          <w:sz w:val="32"/>
          <w:szCs w:val="32"/>
        </w:rPr>
        <w:t xml:space="preserve">   </w:t>
      </w:r>
      <w:r w:rsidR="00A24298">
        <w:rPr>
          <w:color w:val="4BACC6"/>
          <w:sz w:val="32"/>
          <w:szCs w:val="32"/>
        </w:rPr>
        <w:tab/>
      </w:r>
      <w:r>
        <w:rPr>
          <w:color w:val="4BACC6"/>
          <w:sz w:val="32"/>
          <w:szCs w:val="32"/>
        </w:rPr>
        <w:t xml:space="preserve">Date: </w:t>
      </w:r>
      <w:r w:rsidR="00A24298">
        <w:rPr>
          <w:color w:val="4BACC6"/>
          <w:sz w:val="32"/>
          <w:szCs w:val="32"/>
        </w:rPr>
        <w:t>01/12</w:t>
      </w:r>
      <w:r>
        <w:rPr>
          <w:color w:val="4BACC6"/>
          <w:sz w:val="32"/>
          <w:szCs w:val="32"/>
        </w:rPr>
        <w:t>/2021</w:t>
      </w:r>
    </w:p>
    <w:p w14:paraId="73FEA06D" w14:textId="1BF15A53" w:rsidR="009F6F6A" w:rsidRDefault="00E1402A" w:rsidP="00F235AC">
      <w:pPr>
        <w:pStyle w:val="Heading2"/>
        <w:rPr>
          <w:rFonts w:ascii="Calibri" w:eastAsia="Calibri" w:hAnsi="Calibri" w:cs="Calibri"/>
          <w:sz w:val="32"/>
          <w:szCs w:val="32"/>
        </w:rPr>
      </w:pPr>
      <w:r>
        <w:rPr>
          <w:rFonts w:ascii="Calibri" w:eastAsia="Calibri" w:hAnsi="Calibri" w:cs="Calibri"/>
          <w:color w:val="0591B4"/>
          <w:sz w:val="32"/>
          <w:szCs w:val="32"/>
        </w:rPr>
        <w:t>Report:</w:t>
      </w:r>
      <w:r w:rsidR="00A24298">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0A5D70A2" w14:textId="41ECA4EE" w:rsidR="009F6F6A" w:rsidRDefault="00E1402A" w:rsidP="00F235AC">
      <w:pPr>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A24298">
        <w:rPr>
          <w:rFonts w:ascii="Calibri" w:eastAsia="Calibri" w:hAnsi="Calibri" w:cs="Calibri"/>
          <w:color w:val="0591B4"/>
          <w:sz w:val="32"/>
          <w:szCs w:val="32"/>
        </w:rPr>
        <w:tab/>
      </w:r>
      <w:r w:rsidR="00A24298">
        <w:rPr>
          <w:rFonts w:ascii="Calibri" w:eastAsia="Calibri" w:hAnsi="Calibri" w:cs="Calibri"/>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sidR="0015125B">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A24298">
        <w:rPr>
          <w:rFonts w:ascii="Calibri" w:eastAsia="Calibri" w:hAnsi="Calibri" w:cs="Calibri"/>
          <w:color w:val="0591B4"/>
          <w:sz w:val="32"/>
          <w:szCs w:val="32"/>
        </w:rPr>
        <w:t>Vick</w:t>
      </w:r>
      <w:r w:rsidR="001407A9">
        <w:rPr>
          <w:rFonts w:ascii="Calibri" w:eastAsia="Calibri" w:hAnsi="Calibri" w:cs="Calibri"/>
          <w:color w:val="0591B4"/>
          <w:sz w:val="32"/>
          <w:szCs w:val="32"/>
        </w:rPr>
        <w:t>ie</w:t>
      </w:r>
      <w:r w:rsidR="00A24298">
        <w:rPr>
          <w:rFonts w:ascii="Calibri" w:eastAsia="Calibri" w:hAnsi="Calibri" w:cs="Calibri"/>
          <w:color w:val="0591B4"/>
          <w:sz w:val="32"/>
          <w:szCs w:val="32"/>
        </w:rPr>
        <w:t xml:space="preserve"> </w:t>
      </w:r>
      <w:proofErr w:type="spellStart"/>
      <w:r w:rsidR="00A24298">
        <w:rPr>
          <w:rFonts w:ascii="Calibri" w:eastAsia="Calibri" w:hAnsi="Calibri" w:cs="Calibri"/>
          <w:color w:val="0591B4"/>
          <w:sz w:val="32"/>
          <w:szCs w:val="32"/>
        </w:rPr>
        <w:t>Newrick</w:t>
      </w:r>
      <w:proofErr w:type="spellEnd"/>
      <w:r w:rsidR="00A24298">
        <w:rPr>
          <w:rFonts w:ascii="Calibri" w:eastAsia="Calibri" w:hAnsi="Calibri" w:cs="Calibri"/>
          <w:color w:val="0591B4"/>
          <w:sz w:val="32"/>
          <w:szCs w:val="32"/>
        </w:rPr>
        <w:t xml:space="preserve"> (Head) </w:t>
      </w:r>
    </w:p>
    <w:p w14:paraId="45CAE763" w14:textId="2E802184" w:rsidR="00A24298" w:rsidRDefault="00A24298" w:rsidP="00F235AC">
      <w:pPr>
        <w:rPr>
          <w:rFonts w:ascii="Calibri" w:eastAsia="Calibri" w:hAnsi="Calibri" w:cs="Calibri"/>
          <w:sz w:val="22"/>
          <w:szCs w:val="22"/>
        </w:rPr>
      </w:pP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color w:val="0591B4"/>
          <w:sz w:val="32"/>
          <w:szCs w:val="32"/>
        </w:rPr>
        <w:tab/>
        <w:t xml:space="preserve">&amp; Cathy De </w:t>
      </w:r>
      <w:proofErr w:type="spellStart"/>
      <w:r>
        <w:rPr>
          <w:rFonts w:ascii="Calibri" w:eastAsia="Calibri" w:hAnsi="Calibri" w:cs="Calibri"/>
          <w:color w:val="0591B4"/>
          <w:sz w:val="32"/>
          <w:szCs w:val="32"/>
        </w:rPr>
        <w:t>Micco</w:t>
      </w:r>
      <w:proofErr w:type="spellEnd"/>
      <w:r>
        <w:rPr>
          <w:rFonts w:ascii="Calibri" w:eastAsia="Calibri" w:hAnsi="Calibri" w:cs="Calibri"/>
          <w:color w:val="0591B4"/>
          <w:sz w:val="32"/>
          <w:szCs w:val="32"/>
        </w:rPr>
        <w:t xml:space="preserve"> (Admin Officer)</w:t>
      </w:r>
    </w:p>
    <w:p w14:paraId="3DB6B438" w14:textId="77777777" w:rsidR="009F6F6A" w:rsidRDefault="009F6F6A" w:rsidP="00F235AC">
      <w:pPr>
        <w:rPr>
          <w:rFonts w:ascii="Calibri" w:eastAsia="Calibri" w:hAnsi="Calibri" w:cs="Calibri"/>
          <w:b/>
          <w:color w:val="0591B4"/>
          <w:sz w:val="32"/>
          <w:szCs w:val="32"/>
        </w:rPr>
      </w:pPr>
    </w:p>
    <w:p w14:paraId="252C991E" w14:textId="77777777" w:rsidR="009F6F6A" w:rsidRDefault="00E1402A" w:rsidP="00F235AC">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7777777" w:rsidR="009F6F6A" w:rsidRDefault="00E1402A" w:rsidP="00F235AC">
      <w:pPr>
        <w:numPr>
          <w:ilvl w:val="0"/>
          <w:numId w:val="3"/>
        </w:numPr>
        <w:shd w:val="clear" w:color="auto" w:fill="FFFFFF"/>
        <w:rPr>
          <w:sz w:val="22"/>
          <w:szCs w:val="22"/>
        </w:rPr>
      </w:pPr>
      <w:r>
        <w:rPr>
          <w:rFonts w:ascii="Calibri" w:eastAsia="Calibri" w:hAnsi="Calibri" w:cs="Calibri"/>
          <w:sz w:val="24"/>
          <w:szCs w:val="24"/>
        </w:rPr>
        <w:t>DPE website/best practice including: staffing changes and updating on the DPE website</w:t>
      </w:r>
    </w:p>
    <w:p w14:paraId="406C35FC" w14:textId="0492A3BE" w:rsidR="009F6F6A" w:rsidRDefault="00E1402A" w:rsidP="00F235AC">
      <w:pPr>
        <w:numPr>
          <w:ilvl w:val="0"/>
          <w:numId w:val="3"/>
        </w:numPr>
        <w:shd w:val="clear" w:color="auto" w:fill="FFFFFF"/>
        <w:rPr>
          <w:sz w:val="22"/>
          <w:szCs w:val="22"/>
        </w:rPr>
      </w:pPr>
      <w:r>
        <w:rPr>
          <w:rFonts w:ascii="Calibri" w:eastAsia="Calibri" w:hAnsi="Calibri" w:cs="Calibri"/>
          <w:sz w:val="24"/>
          <w:szCs w:val="24"/>
        </w:rPr>
        <w:t>Compliance checklists</w:t>
      </w:r>
    </w:p>
    <w:p w14:paraId="125FD46C" w14:textId="15FC6B2B" w:rsidR="009F6F6A" w:rsidRDefault="00E1402A" w:rsidP="00F235AC">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0164FED7" w14:textId="77777777" w:rsidR="009F6F6A" w:rsidRDefault="00E1402A" w:rsidP="00F235AC">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77777777" w:rsidR="009F6F6A" w:rsidRDefault="00E1402A" w:rsidP="00F235AC">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76500435" w14:textId="77777777" w:rsidR="009F6F6A" w:rsidRDefault="00E1402A" w:rsidP="00F235AC">
      <w:pPr>
        <w:numPr>
          <w:ilvl w:val="0"/>
          <w:numId w:val="3"/>
        </w:numPr>
        <w:shd w:val="clear" w:color="auto" w:fill="FFFFFF"/>
        <w:rPr>
          <w:sz w:val="22"/>
          <w:szCs w:val="22"/>
        </w:rPr>
      </w:pPr>
      <w:r>
        <w:rPr>
          <w:rFonts w:ascii="Calibri" w:eastAsia="Calibri" w:hAnsi="Calibri" w:cs="Calibri"/>
          <w:sz w:val="24"/>
          <w:szCs w:val="24"/>
        </w:rPr>
        <w:t>Q and As</w:t>
      </w:r>
    </w:p>
    <w:p w14:paraId="085F56EE" w14:textId="77777777" w:rsidR="0015125B" w:rsidRDefault="0015125B" w:rsidP="00F235AC">
      <w:pPr>
        <w:rPr>
          <w:rFonts w:ascii="Calibri" w:eastAsia="Calibri" w:hAnsi="Calibri" w:cs="Calibri"/>
          <w:b/>
          <w:color w:val="0591B4"/>
          <w:sz w:val="32"/>
          <w:szCs w:val="32"/>
        </w:rPr>
      </w:pPr>
    </w:p>
    <w:p w14:paraId="76BE69A6" w14:textId="10F0FE7A" w:rsidR="009F6F6A" w:rsidRDefault="00E1402A" w:rsidP="00F235AC">
      <w:pPr>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01E80403" w14:textId="77777777" w:rsidR="009F6F6A" w:rsidRDefault="009F6F6A" w:rsidP="00F235AC">
      <w:pPr>
        <w:rPr>
          <w:rFonts w:ascii="Calibri" w:eastAsia="Calibri" w:hAnsi="Calibri" w:cs="Calibri"/>
          <w:b/>
          <w:sz w:val="24"/>
          <w:szCs w:val="24"/>
        </w:rPr>
      </w:pPr>
    </w:p>
    <w:p w14:paraId="3CEEA08F" w14:textId="77777777" w:rsidR="009F6F6A" w:rsidRPr="0031269F" w:rsidRDefault="00E1402A" w:rsidP="00F235AC">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website/best practice including: staffing changes</w:t>
      </w:r>
    </w:p>
    <w:p w14:paraId="29927401" w14:textId="77777777" w:rsidR="009F6F6A" w:rsidRPr="0031269F" w:rsidRDefault="00E1402A" w:rsidP="00F235AC">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663A272B" w:rsidR="009F6F6A" w:rsidRDefault="00F235AC" w:rsidP="00F235AC">
      <w:pPr>
        <w:numPr>
          <w:ilvl w:val="0"/>
          <w:numId w:val="5"/>
        </w:numPr>
        <w:rPr>
          <w:rFonts w:ascii="Calibri" w:eastAsia="Calibri" w:hAnsi="Calibri" w:cs="Calibri"/>
          <w:sz w:val="24"/>
          <w:szCs w:val="24"/>
        </w:rPr>
      </w:pPr>
      <w:r>
        <w:rPr>
          <w:rFonts w:ascii="Calibri" w:eastAsia="Calibri" w:hAnsi="Calibri" w:cs="Calibri"/>
          <w:sz w:val="24"/>
          <w:szCs w:val="24"/>
        </w:rPr>
        <w:t>Check the staff list users and remove leavers/add new staff</w:t>
      </w:r>
      <w:r w:rsidR="00E1402A">
        <w:rPr>
          <w:rFonts w:ascii="Calibri" w:eastAsia="Calibri" w:hAnsi="Calibri" w:cs="Calibri"/>
          <w:sz w:val="24"/>
          <w:szCs w:val="24"/>
        </w:rPr>
        <w:t xml:space="preserve"> on the DPE website: DPE dashboard&gt;users&gt;add staff, either manually or bulk import.</w:t>
      </w:r>
      <w:r w:rsidR="00E1402A">
        <w:rPr>
          <w:rFonts w:ascii="Calibri" w:eastAsia="Calibri" w:hAnsi="Calibri" w:cs="Calibri"/>
          <w:color w:val="595959"/>
          <w:sz w:val="24"/>
          <w:szCs w:val="24"/>
        </w:rPr>
        <w:t xml:space="preserve"> </w:t>
      </w:r>
      <w:proofErr w:type="spellStart"/>
      <w:r w:rsidR="00E1402A">
        <w:rPr>
          <w:rFonts w:ascii="Calibri" w:eastAsia="Calibri" w:hAnsi="Calibri" w:cs="Calibri"/>
          <w:sz w:val="24"/>
          <w:szCs w:val="24"/>
        </w:rPr>
        <w:t>Kalina</w:t>
      </w:r>
      <w:proofErr w:type="spellEnd"/>
      <w:r w:rsidR="00E1402A">
        <w:rPr>
          <w:rFonts w:ascii="Calibri" w:eastAsia="Calibri" w:hAnsi="Calibri" w:cs="Calibri"/>
          <w:sz w:val="24"/>
          <w:szCs w:val="24"/>
        </w:rPr>
        <w:t xml:space="preserve"> at DPE (client support) is here to help you and can be contacted for support at: </w:t>
      </w:r>
      <w:proofErr w:type="spellStart"/>
      <w:r w:rsidR="00E1402A">
        <w:rPr>
          <w:rFonts w:ascii="Calibri" w:eastAsia="Calibri" w:hAnsi="Calibri" w:cs="Calibri"/>
          <w:sz w:val="24"/>
          <w:szCs w:val="24"/>
        </w:rPr>
        <w:t>kalina.voyvodova@dataprotection.education</w:t>
      </w:r>
      <w:proofErr w:type="spellEnd"/>
      <w:r w:rsidR="00E1402A">
        <w:rPr>
          <w:rFonts w:ascii="Calibri" w:eastAsia="Calibri" w:hAnsi="Calibri" w:cs="Calibri"/>
          <w:sz w:val="24"/>
          <w:szCs w:val="24"/>
        </w:rPr>
        <w:t>.</w:t>
      </w:r>
    </w:p>
    <w:p w14:paraId="62A5201A" w14:textId="77777777" w:rsidR="009F6F6A" w:rsidRDefault="009F6F6A" w:rsidP="00F235AC">
      <w:pPr>
        <w:rPr>
          <w:rFonts w:ascii="Calibri" w:eastAsia="Calibri" w:hAnsi="Calibri" w:cs="Calibri"/>
          <w:b/>
          <w:color w:val="0591B4"/>
          <w:sz w:val="32"/>
          <w:szCs w:val="32"/>
          <w:highlight w:val="yellow"/>
        </w:rPr>
      </w:pPr>
    </w:p>
    <w:p w14:paraId="1B7B481A" w14:textId="77777777" w:rsidR="009F6F6A" w:rsidRDefault="009F6F6A" w:rsidP="00F235AC">
      <w:pPr>
        <w:ind w:left="720"/>
        <w:rPr>
          <w:rFonts w:ascii="Calibri" w:eastAsia="Calibri" w:hAnsi="Calibri" w:cs="Calibri"/>
          <w:sz w:val="24"/>
          <w:szCs w:val="24"/>
        </w:rPr>
      </w:pPr>
    </w:p>
    <w:p w14:paraId="6389D7B3" w14:textId="77777777" w:rsidR="009F6F6A" w:rsidRDefault="00E1402A" w:rsidP="00F235AC">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3A24C818" w14:textId="2415EF31" w:rsidR="009F6F6A" w:rsidRDefault="00E1402A" w:rsidP="00F235AC">
      <w:pPr>
        <w:rPr>
          <w:rFonts w:ascii="Calibri" w:eastAsia="Calibri" w:hAnsi="Calibri" w:cs="Calibri"/>
          <w:sz w:val="24"/>
          <w:szCs w:val="24"/>
        </w:rPr>
      </w:pPr>
      <w:r>
        <w:rPr>
          <w:rFonts w:ascii="Calibri" w:eastAsia="Calibri" w:hAnsi="Calibri" w:cs="Calibri"/>
          <w:sz w:val="24"/>
          <w:szCs w:val="24"/>
        </w:rPr>
        <w:t>The compliance best practice area/checklist (</w:t>
      </w:r>
      <w:hyperlink r:id="rId8">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xml:space="preserve">) can be used to manage progress, print off reports for Governors and support consultants during visits/remote consultations. </w:t>
      </w:r>
    </w:p>
    <w:p w14:paraId="63B99DD9" w14:textId="2437B8B3" w:rsidR="009F6F6A" w:rsidRPr="00F235AC" w:rsidRDefault="00F235AC" w:rsidP="00F235AC">
      <w:pPr>
        <w:numPr>
          <w:ilvl w:val="0"/>
          <w:numId w:val="6"/>
        </w:numPr>
        <w:rPr>
          <w:rFonts w:ascii="Calibri" w:eastAsia="Calibri" w:hAnsi="Calibri" w:cs="Calibri"/>
          <w:bCs/>
          <w:sz w:val="24"/>
          <w:szCs w:val="24"/>
        </w:rPr>
      </w:pPr>
      <w:r>
        <w:rPr>
          <w:rFonts w:ascii="Calibri" w:eastAsia="Calibri" w:hAnsi="Calibri" w:cs="Calibri"/>
          <w:bCs/>
          <w:sz w:val="24"/>
          <w:szCs w:val="24"/>
        </w:rPr>
        <w:t>Updated the ‘commitment to compliance’ section of the best practice checklist during the consultation.  We will revisit this on our next remote session following ratification of updated policies, privacy notices and completion of staff training.</w:t>
      </w:r>
    </w:p>
    <w:p w14:paraId="62E9838B" w14:textId="77777777" w:rsidR="009F6F6A" w:rsidRDefault="00E1402A" w:rsidP="00F235AC">
      <w:pPr>
        <w:rPr>
          <w:rFonts w:ascii="Calibri" w:eastAsia="Calibri" w:hAnsi="Calibri" w:cs="Calibri"/>
          <w:b/>
          <w:sz w:val="24"/>
          <w:szCs w:val="24"/>
        </w:rPr>
      </w:pPr>
      <w:r>
        <w:rPr>
          <w:rFonts w:ascii="Calibri" w:eastAsia="Calibri" w:hAnsi="Calibri" w:cs="Calibri"/>
          <w:b/>
          <w:sz w:val="24"/>
          <w:szCs w:val="24"/>
        </w:rPr>
        <w:t>Actions:</w:t>
      </w:r>
    </w:p>
    <w:p w14:paraId="28A16E9D" w14:textId="724A4FF2" w:rsidR="0031269F" w:rsidRPr="0031269F" w:rsidRDefault="00E1402A" w:rsidP="00F235AC">
      <w:pPr>
        <w:numPr>
          <w:ilvl w:val="0"/>
          <w:numId w:val="6"/>
        </w:numPr>
        <w:rPr>
          <w:rFonts w:ascii="Calibri" w:eastAsia="Calibri" w:hAnsi="Calibri" w:cs="Calibri"/>
          <w:sz w:val="24"/>
          <w:szCs w:val="24"/>
        </w:rPr>
      </w:pPr>
      <w:r>
        <w:rPr>
          <w:rFonts w:ascii="Calibri" w:eastAsia="Calibri" w:hAnsi="Calibri" w:cs="Calibri"/>
          <w:sz w:val="24"/>
          <w:szCs w:val="24"/>
        </w:rPr>
        <w:t>Update the</w:t>
      </w:r>
      <w:r>
        <w:rPr>
          <w:rFonts w:ascii="Calibri" w:eastAsia="Calibri" w:hAnsi="Calibri" w:cs="Calibri"/>
          <w:b/>
          <w:sz w:val="24"/>
          <w:szCs w:val="24"/>
        </w:rPr>
        <w:t xml:space="preserve"> </w:t>
      </w:r>
      <w:r w:rsidR="0031269F">
        <w:rPr>
          <w:rFonts w:ascii="Calibri" w:eastAsia="Calibri" w:hAnsi="Calibri" w:cs="Calibri"/>
          <w:b/>
          <w:sz w:val="24"/>
          <w:szCs w:val="24"/>
        </w:rPr>
        <w:t xml:space="preserve">DP </w:t>
      </w:r>
      <w:r w:rsidR="0031269F" w:rsidRPr="0031269F">
        <w:rPr>
          <w:rFonts w:ascii="Calibri" w:eastAsia="Calibri" w:hAnsi="Calibri" w:cs="Calibri"/>
          <w:b/>
          <w:sz w:val="24"/>
          <w:szCs w:val="24"/>
        </w:rPr>
        <w:t>Policy</w:t>
      </w:r>
      <w:r w:rsidR="0031269F">
        <w:rPr>
          <w:rFonts w:ascii="Calibri" w:eastAsia="Calibri" w:hAnsi="Calibri" w:cs="Calibri"/>
          <w:bCs/>
          <w:sz w:val="24"/>
          <w:szCs w:val="24"/>
        </w:rPr>
        <w:t xml:space="preserve"> – </w:t>
      </w:r>
      <w:r w:rsidR="000F6CB8">
        <w:rPr>
          <w:rFonts w:ascii="Calibri" w:eastAsia="Calibri" w:hAnsi="Calibri" w:cs="Calibri"/>
          <w:bCs/>
          <w:sz w:val="24"/>
          <w:szCs w:val="24"/>
        </w:rPr>
        <w:t xml:space="preserve">newer version available </w:t>
      </w:r>
      <w:proofErr w:type="spellStart"/>
      <w:r w:rsidR="000F6CB8">
        <w:rPr>
          <w:rFonts w:ascii="Calibri" w:eastAsia="Calibri" w:hAnsi="Calibri" w:cs="Calibri"/>
          <w:bCs/>
          <w:sz w:val="24"/>
          <w:szCs w:val="24"/>
        </w:rPr>
        <w:t>inc</w:t>
      </w:r>
      <w:proofErr w:type="spellEnd"/>
      <w:r w:rsidR="000F6CB8">
        <w:rPr>
          <w:rFonts w:ascii="Calibri" w:eastAsia="Calibri" w:hAnsi="Calibri" w:cs="Calibri"/>
          <w:bCs/>
          <w:sz w:val="24"/>
          <w:szCs w:val="24"/>
        </w:rPr>
        <w:t xml:space="preserve"> track and trace info</w:t>
      </w:r>
    </w:p>
    <w:p w14:paraId="4446CE3F" w14:textId="77777777" w:rsidR="009F6F6A" w:rsidRDefault="00E1402A" w:rsidP="00F235AC">
      <w:pPr>
        <w:numPr>
          <w:ilvl w:val="0"/>
          <w:numId w:val="6"/>
        </w:numPr>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There are now separate Privacy Notices for: Workforce, General and Students and there is now a child friendly notice. In addition, update the documentation on the school website (available from the compliance best practice area).</w:t>
      </w:r>
    </w:p>
    <w:p w14:paraId="6B632D63" w14:textId="16F379E9" w:rsidR="009F6F6A" w:rsidRDefault="00E1402A" w:rsidP="00F235AC">
      <w:pPr>
        <w:numPr>
          <w:ilvl w:val="0"/>
          <w:numId w:val="6"/>
        </w:numPr>
        <w:rPr>
          <w:rFonts w:ascii="Calibri" w:eastAsia="Calibri" w:hAnsi="Calibri" w:cs="Calibri"/>
          <w:sz w:val="24"/>
          <w:szCs w:val="24"/>
        </w:rPr>
      </w:pPr>
      <w:r>
        <w:rPr>
          <w:rFonts w:ascii="Calibri" w:eastAsia="Calibri" w:hAnsi="Calibri" w:cs="Calibri"/>
          <w:b/>
          <w:sz w:val="24"/>
          <w:szCs w:val="24"/>
        </w:rPr>
        <w:t>Work away from school policy - if not already it is good practice to have one</w:t>
      </w:r>
      <w:r>
        <w:rPr>
          <w:rFonts w:ascii="Calibri" w:eastAsia="Calibri" w:hAnsi="Calibri" w:cs="Calibri"/>
          <w:sz w:val="24"/>
          <w:szCs w:val="24"/>
        </w:rPr>
        <w:t xml:space="preserve">. School to ascertain which staff work from home, what data they access and how data is handled, which will support risk management for working out of school (policy available from the compliance best practice area). </w:t>
      </w:r>
    </w:p>
    <w:p w14:paraId="56D11B63" w14:textId="77777777" w:rsidR="009F6F6A" w:rsidRDefault="00E1402A" w:rsidP="00F235AC">
      <w:pPr>
        <w:numPr>
          <w:ilvl w:val="0"/>
          <w:numId w:val="6"/>
        </w:numPr>
        <w:rPr>
          <w:rFonts w:ascii="Calibri" w:eastAsia="Calibri" w:hAnsi="Calibri" w:cs="Calibri"/>
          <w:sz w:val="24"/>
          <w:szCs w:val="24"/>
        </w:rPr>
      </w:pPr>
      <w:r>
        <w:rPr>
          <w:rFonts w:ascii="Calibri" w:eastAsia="Calibri" w:hAnsi="Calibri" w:cs="Calibri"/>
          <w:sz w:val="24"/>
          <w:szCs w:val="24"/>
        </w:rPr>
        <w:lastRenderedPageBreak/>
        <w:t xml:space="preserve">Please check you are happy that you now have all of the initial compliance documents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understand your </w:t>
      </w:r>
      <w:proofErr w:type="spellStart"/>
      <w:r>
        <w:rPr>
          <w:rFonts w:ascii="Calibri" w:eastAsia="Calibri" w:hAnsi="Calibri" w:cs="Calibri"/>
          <w:sz w:val="24"/>
          <w:szCs w:val="24"/>
        </w:rPr>
        <w:t>organisation's</w:t>
      </w:r>
      <w:proofErr w:type="spellEnd"/>
      <w:r>
        <w:rPr>
          <w:rFonts w:ascii="Calibri" w:eastAsia="Calibri" w:hAnsi="Calibri" w:cs="Calibri"/>
          <w:sz w:val="24"/>
          <w:szCs w:val="24"/>
        </w:rPr>
        <w:t xml:space="preserve"> data breach procedure? Review the DPE consent guidance and consent forms; does data displayed around school and on the website correlate with your current documentation? Is there data still displayed of leavers? </w:t>
      </w:r>
    </w:p>
    <w:p w14:paraId="2F147883" w14:textId="77777777" w:rsidR="009F6F6A" w:rsidRDefault="00E1402A" w:rsidP="00F235AC">
      <w:pPr>
        <w:numPr>
          <w:ilvl w:val="0"/>
          <w:numId w:val="6"/>
        </w:numPr>
        <w:rPr>
          <w:rFonts w:ascii="Calibri" w:eastAsia="Calibri" w:hAnsi="Calibri" w:cs="Calibri"/>
          <w:b/>
          <w:sz w:val="24"/>
          <w:szCs w:val="24"/>
        </w:rPr>
      </w:pPr>
      <w:r>
        <w:rPr>
          <w:rFonts w:ascii="Calibri" w:eastAsia="Calibri" w:hAnsi="Calibri" w:cs="Calibri"/>
          <w:b/>
          <w:sz w:val="24"/>
          <w:szCs w:val="24"/>
        </w:rPr>
        <w:t xml:space="preserve">Publication scheme: </w:t>
      </w:r>
      <w:r>
        <w:rPr>
          <w:rFonts w:ascii="Calibri" w:eastAsia="Calibri" w:hAnsi="Calibri" w:cs="Calibri"/>
          <w:sz w:val="24"/>
          <w:szCs w:val="24"/>
        </w:rPr>
        <w:t xml:space="preserve">Check to identify if the school has a publication scheme and FOI policy. </w:t>
      </w:r>
      <w:r>
        <w:rPr>
          <w:rFonts w:ascii="Calibri" w:eastAsia="Calibri" w:hAnsi="Calibri" w:cs="Calibri"/>
          <w:b/>
          <w:color w:val="595959"/>
          <w:sz w:val="24"/>
          <w:szCs w:val="24"/>
        </w:rPr>
        <w:t xml:space="preserve">The updated guidance can be obtained from: </w:t>
      </w:r>
      <w:hyperlink r:id="rId9">
        <w:r>
          <w:rPr>
            <w:rFonts w:ascii="Calibri" w:eastAsia="Calibri" w:hAnsi="Calibri" w:cs="Calibri"/>
            <w:color w:val="1155CC"/>
            <w:sz w:val="24"/>
            <w:szCs w:val="24"/>
            <w:u w:val="single"/>
          </w:rPr>
          <w:t>https://dataprotection.education/news-top/news/83-best-practice-updates/182-model-publication-scheme-amendments-improvements-and-updates</w:t>
        </w:r>
      </w:hyperlink>
      <w:r>
        <w:rPr>
          <w:rFonts w:ascii="Calibri" w:eastAsia="Calibri" w:hAnsi="Calibri" w:cs="Calibri"/>
          <w:color w:val="595959"/>
          <w:sz w:val="24"/>
          <w:szCs w:val="24"/>
        </w:rPr>
        <w:t xml:space="preserve"> </w:t>
      </w:r>
    </w:p>
    <w:p w14:paraId="3F60015F" w14:textId="77777777" w:rsidR="009F6F6A" w:rsidRDefault="00E1402A" w:rsidP="00F235AC">
      <w:pPr>
        <w:spacing w:after="120"/>
        <w:ind w:left="720"/>
        <w:rPr>
          <w:rFonts w:ascii="Calibri" w:eastAsia="Calibri" w:hAnsi="Calibri" w:cs="Calibri"/>
          <w:b/>
          <w:sz w:val="24"/>
          <w:szCs w:val="24"/>
        </w:rPr>
      </w:pPr>
      <w:r>
        <w:rPr>
          <w:rFonts w:ascii="Calibri" w:eastAsia="Calibri" w:hAnsi="Calibri" w:cs="Calibri"/>
          <w:color w:val="595959"/>
          <w:sz w:val="24"/>
          <w:szCs w:val="24"/>
        </w:rPr>
        <w:t xml:space="preserve">Updated publication schemes can be obtained from: </w:t>
      </w:r>
      <w:hyperlink r:id="rId10">
        <w:r>
          <w:rPr>
            <w:rFonts w:ascii="Calibri" w:eastAsia="Calibri" w:hAnsi="Calibri" w:cs="Calibri"/>
            <w:color w:val="1155CC"/>
            <w:sz w:val="24"/>
            <w:szCs w:val="24"/>
            <w:u w:val="single"/>
          </w:rPr>
          <w:t>https://kb.dataprotection.education/index.php/best-practice-library/best-practice/freedom-of-information</w:t>
        </w:r>
      </w:hyperlink>
    </w:p>
    <w:p w14:paraId="612173CC" w14:textId="1598AE19" w:rsidR="009F6F6A" w:rsidRDefault="00E1402A" w:rsidP="00F235AC">
      <w:pPr>
        <w:shd w:val="clear" w:color="auto" w:fill="FFFFFF"/>
        <w:rPr>
          <w:b/>
          <w:color w:val="0591B4"/>
          <w:sz w:val="32"/>
          <w:szCs w:val="32"/>
        </w:rPr>
      </w:pPr>
      <w:r>
        <w:rPr>
          <w:rFonts w:ascii="Calibri" w:eastAsia="Calibri" w:hAnsi="Calibri" w:cs="Calibri"/>
          <w:b/>
          <w:color w:val="0591B4"/>
          <w:sz w:val="32"/>
          <w:szCs w:val="32"/>
        </w:rPr>
        <w:t xml:space="preserve">Review of training, setting up staff and running reports </w:t>
      </w:r>
    </w:p>
    <w:p w14:paraId="5B645497" w14:textId="77777777" w:rsidR="009F6F6A" w:rsidRDefault="00E1402A" w:rsidP="00F235AC">
      <w:pPr>
        <w:rPr>
          <w:rFonts w:ascii="Calibri" w:eastAsia="Calibri" w:hAnsi="Calibri" w:cs="Calibri"/>
          <w:sz w:val="24"/>
          <w:szCs w:val="24"/>
        </w:rPr>
      </w:pPr>
      <w:r>
        <w:rPr>
          <w:rFonts w:ascii="Calibri" w:eastAsia="Calibri" w:hAnsi="Calibri" w:cs="Calibri"/>
          <w:b/>
          <w:sz w:val="24"/>
          <w:szCs w:val="24"/>
        </w:rPr>
        <w:t>Actions:</w:t>
      </w:r>
    </w:p>
    <w:p w14:paraId="13B10113" w14:textId="731448D5" w:rsidR="0031269F" w:rsidRPr="0031269F" w:rsidRDefault="0031269F" w:rsidP="00F235AC">
      <w:pPr>
        <w:pStyle w:val="ListParagraph"/>
        <w:numPr>
          <w:ilvl w:val="0"/>
          <w:numId w:val="7"/>
        </w:numPr>
      </w:pPr>
      <w:r w:rsidRPr="0031269F">
        <w:t>Set up new staff on the DPE website and delete leavers</w:t>
      </w:r>
      <w:r>
        <w:t>; begin with GDPR Refresh/101 for high volume processors, password security, clear desk etc</w:t>
      </w:r>
    </w:p>
    <w:p w14:paraId="3CEAAD93" w14:textId="16D20FB3" w:rsidR="009F6F6A" w:rsidRPr="0031269F" w:rsidRDefault="00E1402A" w:rsidP="00F235AC">
      <w:pPr>
        <w:pStyle w:val="ListParagraph"/>
        <w:numPr>
          <w:ilvl w:val="0"/>
          <w:numId w:val="7"/>
        </w:numPr>
      </w:pPr>
      <w:r w:rsidRPr="0031269F">
        <w:t xml:space="preserve">Review additional training modules to be completed by staff (Work away from school and NCSC etc). </w:t>
      </w:r>
    </w:p>
    <w:p w14:paraId="2CE4B800" w14:textId="77777777" w:rsidR="0031269F" w:rsidRDefault="0031269F" w:rsidP="00F235AC">
      <w:pPr>
        <w:shd w:val="clear" w:color="auto" w:fill="FFFFFF"/>
        <w:rPr>
          <w:rFonts w:ascii="Calibri" w:eastAsia="Calibri" w:hAnsi="Calibri" w:cs="Calibri"/>
          <w:b/>
          <w:color w:val="0591B4"/>
          <w:sz w:val="32"/>
          <w:szCs w:val="32"/>
        </w:rPr>
      </w:pPr>
    </w:p>
    <w:p w14:paraId="1211BD64" w14:textId="360809FE" w:rsidR="009F6F6A" w:rsidRDefault="00E1402A" w:rsidP="00F235AC">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F235AC">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F235AC">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11">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F235AC">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F235AC">
      <w:pPr>
        <w:rPr>
          <w:rFonts w:ascii="Calibri" w:eastAsia="Calibri" w:hAnsi="Calibri" w:cs="Calibri"/>
          <w:sz w:val="24"/>
          <w:szCs w:val="24"/>
        </w:rPr>
      </w:pPr>
    </w:p>
    <w:p w14:paraId="5175E28C" w14:textId="77777777" w:rsidR="009F6F6A" w:rsidRDefault="00E1402A" w:rsidP="00F235AC">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280FEA9" w14:textId="77777777" w:rsidR="009F6F6A" w:rsidRDefault="00E1402A" w:rsidP="00F235AC">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F235AC">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63D02959" w:rsidR="009F6F6A" w:rsidRDefault="00E1402A" w:rsidP="00F235AC">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has the option to complete their own end of day walk and report findings back to staff (raising awareness) </w:t>
      </w:r>
      <w:r w:rsidR="0031269F">
        <w:rPr>
          <w:rFonts w:ascii="Calibri" w:eastAsia="Calibri" w:hAnsi="Calibri" w:cs="Calibri"/>
          <w:sz w:val="24"/>
          <w:szCs w:val="24"/>
        </w:rPr>
        <w:t>– demonstration of the electronic tool or print and use a hard copy ‘Data Protection Walk Form’ here:</w:t>
      </w:r>
      <w:r w:rsidR="0031269F" w:rsidRPr="0031269F">
        <w:rPr>
          <w:rFonts w:asciiTheme="majorHAnsi" w:eastAsia="Calibri" w:hAnsiTheme="majorHAnsi" w:cstheme="majorHAnsi"/>
          <w:sz w:val="24"/>
          <w:szCs w:val="24"/>
        </w:rPr>
        <w:t xml:space="preserve"> </w:t>
      </w:r>
      <w:hyperlink r:id="rId12"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F235AC">
      <w:pPr>
        <w:rPr>
          <w:rFonts w:ascii="Calibri" w:eastAsia="Calibri" w:hAnsi="Calibri" w:cs="Calibri"/>
          <w:b/>
          <w:sz w:val="24"/>
          <w:szCs w:val="24"/>
        </w:rPr>
      </w:pPr>
    </w:p>
    <w:p w14:paraId="3754656E" w14:textId="77777777" w:rsidR="009F6F6A" w:rsidRDefault="00E1402A" w:rsidP="00F235AC">
      <w:pPr>
        <w:rPr>
          <w:rFonts w:ascii="Calibri" w:eastAsia="Calibri" w:hAnsi="Calibri" w:cs="Calibri"/>
          <w:b/>
          <w:sz w:val="24"/>
          <w:szCs w:val="24"/>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4E46FDFF" w14:textId="5EBE064B" w:rsidR="009F6F6A" w:rsidRDefault="00E1402A" w:rsidP="00F235AC">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w:t>
      </w:r>
      <w:proofErr w:type="spellStart"/>
      <w:r>
        <w:rPr>
          <w:rFonts w:ascii="Calibri" w:eastAsia="Calibri" w:hAnsi="Calibri" w:cs="Calibri"/>
          <w:sz w:val="24"/>
          <w:szCs w:val="24"/>
        </w:rPr>
        <w:t>RoP</w:t>
      </w:r>
      <w:proofErr w:type="spellEnd"/>
      <w:r>
        <w:rPr>
          <w:rFonts w:ascii="Calibri" w:eastAsia="Calibri" w:hAnsi="Calibri" w:cs="Calibri"/>
          <w:sz w:val="24"/>
          <w:szCs w:val="24"/>
        </w:rPr>
        <w:t xml:space="preserve"> can be adapted to reflect your school’s individual practice. </w:t>
      </w:r>
      <w:r w:rsidR="0031269F">
        <w:rPr>
          <w:rFonts w:ascii="Calibri" w:eastAsia="Calibri" w:hAnsi="Calibri" w:cs="Calibri"/>
          <w:sz w:val="24"/>
          <w:szCs w:val="24"/>
        </w:rPr>
        <w:t xml:space="preserve">Linda has sessions booked with </w:t>
      </w:r>
      <w:r w:rsidR="001F6D15">
        <w:rPr>
          <w:rFonts w:ascii="Calibri" w:eastAsia="Calibri" w:hAnsi="Calibri" w:cs="Calibri"/>
          <w:sz w:val="24"/>
          <w:szCs w:val="24"/>
        </w:rPr>
        <w:t>Cathy</w:t>
      </w:r>
      <w:r w:rsidR="0031269F">
        <w:rPr>
          <w:rFonts w:ascii="Calibri" w:eastAsia="Calibri" w:hAnsi="Calibri" w:cs="Calibri"/>
          <w:sz w:val="24"/>
          <w:szCs w:val="24"/>
        </w:rPr>
        <w:t xml:space="preserve"> to continue this completion.</w:t>
      </w:r>
    </w:p>
    <w:p w14:paraId="148AF7FB" w14:textId="77777777" w:rsidR="009F6F6A" w:rsidRDefault="009F6F6A" w:rsidP="00F235AC">
      <w:pPr>
        <w:rPr>
          <w:rFonts w:ascii="Calibri" w:eastAsia="Calibri" w:hAnsi="Calibri" w:cs="Calibri"/>
          <w:b/>
          <w:color w:val="0591B4"/>
          <w:sz w:val="32"/>
          <w:szCs w:val="32"/>
        </w:rPr>
      </w:pPr>
    </w:p>
    <w:p w14:paraId="32581194" w14:textId="77777777" w:rsidR="009F6F6A" w:rsidRDefault="009F6F6A" w:rsidP="00F235AC">
      <w:pPr>
        <w:rPr>
          <w:rFonts w:ascii="Calibri" w:eastAsia="Calibri" w:hAnsi="Calibri" w:cs="Calibri"/>
          <w:sz w:val="22"/>
          <w:szCs w:val="22"/>
        </w:rPr>
      </w:pPr>
    </w:p>
    <w:sectPr w:rsidR="009F6F6A">
      <w:head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5666D" w14:textId="77777777" w:rsidR="00530F2C" w:rsidRDefault="00530F2C">
      <w:r>
        <w:separator/>
      </w:r>
    </w:p>
  </w:endnote>
  <w:endnote w:type="continuationSeparator" w:id="0">
    <w:p w14:paraId="368FD311" w14:textId="77777777" w:rsidR="00530F2C" w:rsidRDefault="00530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083BF" w14:textId="77777777" w:rsidR="00530F2C" w:rsidRDefault="00530F2C">
      <w:r>
        <w:separator/>
      </w:r>
    </w:p>
  </w:footnote>
  <w:footnote w:type="continuationSeparator" w:id="0">
    <w:p w14:paraId="26CE20F8" w14:textId="77777777" w:rsidR="00530F2C" w:rsidRDefault="00530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F6CB8"/>
    <w:rsid w:val="001407A9"/>
    <w:rsid w:val="0015125B"/>
    <w:rsid w:val="001F6D15"/>
    <w:rsid w:val="002333D0"/>
    <w:rsid w:val="00240302"/>
    <w:rsid w:val="0031269F"/>
    <w:rsid w:val="004046C3"/>
    <w:rsid w:val="00530F2C"/>
    <w:rsid w:val="005651F6"/>
    <w:rsid w:val="006933E5"/>
    <w:rsid w:val="006F5165"/>
    <w:rsid w:val="00873492"/>
    <w:rsid w:val="008B5033"/>
    <w:rsid w:val="009F6F6A"/>
    <w:rsid w:val="00A24298"/>
    <w:rsid w:val="00B83639"/>
    <w:rsid w:val="00CC3749"/>
    <w:rsid w:val="00E1402A"/>
    <w:rsid w:val="00F235AC"/>
    <w:rsid w:val="00FE4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protection.education/best-practice-library/documents/guid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documents/information-technology-securi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b.dataprotection.education/index.php/best-practice-library/best-practice/freedom-of-information" TargetMode="External"/><Relationship Id="rId4" Type="http://schemas.openxmlformats.org/officeDocument/2006/relationships/settings" Target="settings.xml"/><Relationship Id="rId9" Type="http://schemas.openxmlformats.org/officeDocument/2006/relationships/hyperlink" Target="https://dataprotection.education/news-top/news/83-best-practice-updates/182-model-publication-scheme-amendments-improvements-and-update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2</cp:revision>
  <dcterms:created xsi:type="dcterms:W3CDTF">2021-12-06T09:37:00Z</dcterms:created>
  <dcterms:modified xsi:type="dcterms:W3CDTF">2021-12-06T09:37:00Z</dcterms:modified>
</cp:coreProperties>
</file>