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w:t>
      </w:r>
      <w:r w:rsidDel="00000000" w:rsidR="00000000" w:rsidRPr="00000000">
        <w:rPr>
          <w:rFonts w:ascii="Calibri" w:cs="Calibri" w:eastAsia="Calibri" w:hAnsi="Calibri"/>
          <w:b w:val="0"/>
          <w:color w:val="4bacc6"/>
          <w:sz w:val="30"/>
          <w:szCs w:val="30"/>
          <w:rtl w:val="0"/>
        </w:rPr>
        <w:t xml:space="preserve">Recreation Road</w:t>
      </w:r>
      <w:r w:rsidDel="00000000" w:rsidR="00000000" w:rsidRPr="00000000">
        <w:rPr>
          <w:rFonts w:ascii="Calibri" w:cs="Calibri" w:eastAsia="Calibri" w:hAnsi="Calibri"/>
          <w:color w:val="4bacc6"/>
          <w:sz w:val="30"/>
          <w:szCs w:val="30"/>
          <w:rtl w:val="0"/>
        </w:rPr>
        <w:t xml:space="preserve">                                                                    Date: </w:t>
      </w:r>
      <w:r w:rsidDel="00000000" w:rsidR="00000000" w:rsidRPr="00000000">
        <w:rPr>
          <w:rFonts w:ascii="Calibri" w:cs="Calibri" w:eastAsia="Calibri" w:hAnsi="Calibri"/>
          <w:b w:val="0"/>
          <w:color w:val="4bacc6"/>
          <w:sz w:val="30"/>
          <w:szCs w:val="30"/>
          <w:rtl w:val="0"/>
        </w:rPr>
        <w:t xml:space="preserve">13/01/2022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Remote consultation</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w:t>
      </w:r>
      <w:r w:rsidDel="00000000" w:rsidR="00000000" w:rsidRPr="00000000">
        <w:rPr>
          <w:rFonts w:ascii="Calibri" w:cs="Calibri" w:eastAsia="Calibri" w:hAnsi="Calibri"/>
          <w:color w:val="0591b4"/>
          <w:sz w:val="30"/>
          <w:szCs w:val="30"/>
          <w:rtl w:val="0"/>
        </w:rPr>
        <w:t xml:space="preserve"> Jen Carlin</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 school will be federating shortly with Avenue Junior, it was agreed to wait until then to update GDPR documentation. SL will also follow up with Avenue Junior at the 23 February meeting.  A general GDPR catchup was completed. Details below of discussions and in addition, some GDPR best practice that the school can check against:</w:t>
      </w:r>
    </w:p>
    <w:p w:rsidR="00000000" w:rsidDel="00000000" w:rsidP="00000000" w:rsidRDefault="00000000" w:rsidRPr="00000000" w14:paraId="00000007">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8">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 housekeeping</w:t>
      </w:r>
    </w:p>
    <w:p w:rsidR="00000000" w:rsidDel="00000000" w:rsidP="00000000" w:rsidRDefault="00000000" w:rsidRPr="00000000" w14:paraId="00000009">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A">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B">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C">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D">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E">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events and webinars</w:t>
      </w:r>
    </w:p>
    <w:p w:rsidR="00000000" w:rsidDel="00000000" w:rsidP="00000000" w:rsidRDefault="00000000" w:rsidRPr="00000000" w14:paraId="0000000F">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of processing (RoP) update </w:t>
      </w:r>
      <w:r w:rsidDel="00000000" w:rsidR="00000000" w:rsidRPr="00000000">
        <w:rPr>
          <w:rtl w:val="0"/>
        </w:rPr>
      </w:r>
    </w:p>
    <w:p w:rsidR="00000000" w:rsidDel="00000000" w:rsidP="00000000" w:rsidRDefault="00000000" w:rsidRPr="00000000" w14:paraId="00000010">
      <w:pPr>
        <w:numPr>
          <w:ilvl w:val="0"/>
          <w:numId w:val="9"/>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Crib sheet for induction and specific staff</w:t>
      </w:r>
      <w:r w:rsidDel="00000000" w:rsidR="00000000" w:rsidRPr="00000000">
        <w:rPr>
          <w:rtl w:val="0"/>
        </w:rPr>
      </w:r>
    </w:p>
    <w:p w:rsidR="00000000" w:rsidDel="00000000" w:rsidP="00000000" w:rsidRDefault="00000000" w:rsidRPr="00000000" w14:paraId="00000011">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12">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13">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14">
      <w:pPr>
        <w:shd w:fill="ffffff" w:val="clear"/>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015">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color w:val="222222"/>
          <w:sz w:val="24"/>
          <w:szCs w:val="24"/>
          <w:highlight w:val="white"/>
          <w:rtl w:val="0"/>
        </w:rPr>
        <w:t xml:space="preserve">For new staff if not already, consider including DPE’s e-learning  GDPR training as part of the </w:t>
      </w:r>
      <w:r w:rsidDel="00000000" w:rsidR="00000000" w:rsidRPr="00000000">
        <w:rPr>
          <w:rFonts w:ascii="Calibri" w:cs="Calibri" w:eastAsia="Calibri" w:hAnsi="Calibri"/>
          <w:b w:val="1"/>
          <w:color w:val="222222"/>
          <w:sz w:val="24"/>
          <w:szCs w:val="24"/>
          <w:highlight w:val="white"/>
          <w:rtl w:val="0"/>
        </w:rPr>
        <w:t xml:space="preserve">induction process.</w:t>
      </w:r>
      <w:r w:rsidDel="00000000" w:rsidR="00000000" w:rsidRPr="00000000">
        <w:rPr>
          <w:rtl w:val="0"/>
        </w:rPr>
      </w:r>
    </w:p>
    <w:p w:rsidR="00000000" w:rsidDel="00000000" w:rsidP="00000000" w:rsidRDefault="00000000" w:rsidRPr="00000000" w14:paraId="00000016">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7">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8">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rsidR="00000000" w:rsidDel="00000000" w:rsidP="00000000" w:rsidRDefault="00000000" w:rsidRPr="00000000" w14:paraId="00000019">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A">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1B">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C">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D">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E">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1F">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20">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22">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23">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Consent guidance and consent withdrawal can also be added to the GDPR section of the school website</w:t>
      </w:r>
    </w:p>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data retention (section 5 below)  there is a records management best practice area  and documentation for records management and Information classification. If your data protection policy refers to these documents then you should also have these documents in place: </w:t>
      </w:r>
      <w:hyperlink r:id="rId6">
        <w:r w:rsidDel="00000000" w:rsidR="00000000" w:rsidRPr="00000000">
          <w:rPr>
            <w:rFonts w:ascii="Calibri" w:cs="Calibri" w:eastAsia="Calibri" w:hAnsi="Calibri"/>
            <w:color w:val="1155cc"/>
            <w:sz w:val="24"/>
            <w:szCs w:val="24"/>
            <w:u w:val="single"/>
            <w:rtl w:val="0"/>
          </w:rPr>
          <w:t xml:space="preserve">https://dataprotection.education/best-practice-library/best-practice/records-management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9">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2A">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B">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C">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D">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E">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F">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30">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31">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2">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7">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33">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34">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5">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8">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6">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7">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9">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8">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9">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There is also an information classification best practice area: </w:t>
      </w:r>
      <w:hyperlink r:id="rId10">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https://dataprotection.education/index.php/best-practice-library/best-practice/information-classification</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A">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B">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And DPE will be releasing a p</w:t>
      </w:r>
      <w:r w:rsidDel="00000000" w:rsidR="00000000" w:rsidRPr="00000000">
        <w:rPr>
          <w:rFonts w:ascii="Calibri" w:cs="Calibri" w:eastAsia="Calibri" w:hAnsi="Calibri"/>
          <w:color w:val="222222"/>
          <w:sz w:val="24"/>
          <w:szCs w:val="24"/>
          <w:rtl w:val="0"/>
        </w:rPr>
        <w:t xml:space="preserve">hishing simulation shortly</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03C">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D">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1">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E">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2">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F">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40">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4">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widowControl w:val="0"/>
        <w:rPr>
          <w:rFonts w:ascii="Calibri" w:cs="Calibri" w:eastAsia="Calibri" w:hAnsi="Calibri"/>
          <w:sz w:val="24"/>
          <w:szCs w:val="24"/>
        </w:rPr>
      </w:pPr>
      <w:hyperlink r:id="rId15">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43">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4">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45">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46">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47">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48">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9">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A">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B">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C">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D">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6">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7">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4F">
      <w:pPr>
        <w:widowControl w:val="0"/>
        <w:numPr>
          <w:ilvl w:val="0"/>
          <w:numId w:val="1"/>
        </w:numPr>
        <w:spacing w:line="276" w:lineRule="auto"/>
        <w:ind w:left="720" w:hanging="360"/>
        <w:rPr>
          <w:rFonts w:ascii="Calibri" w:cs="Calibri" w:eastAsia="Calibri" w:hAnsi="Calibri"/>
          <w:sz w:val="24"/>
          <w:szCs w:val="24"/>
        </w:rPr>
      </w:pPr>
      <w:hyperlink r:id="rId18">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50">
      <w:pPr>
        <w:widowControl w:val="0"/>
        <w:numPr>
          <w:ilvl w:val="0"/>
          <w:numId w:val="1"/>
        </w:numPr>
        <w:spacing w:line="276" w:lineRule="auto"/>
        <w:ind w:left="720" w:hanging="360"/>
        <w:rPr>
          <w:rFonts w:ascii="Calibri" w:cs="Calibri" w:eastAsia="Calibri" w:hAnsi="Calibri"/>
          <w:sz w:val="24"/>
          <w:szCs w:val="24"/>
        </w:rPr>
      </w:pPr>
      <w:hyperlink r:id="rId19">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0">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52">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53">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1">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2">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4">
      <w:pPr>
        <w:widowControl w:val="0"/>
        <w:numPr>
          <w:ilvl w:val="0"/>
          <w:numId w:val="1"/>
        </w:numPr>
        <w:spacing w:line="276" w:lineRule="auto"/>
        <w:ind w:left="720" w:hanging="360"/>
        <w:rPr>
          <w:rFonts w:ascii="Calibri" w:cs="Calibri" w:eastAsia="Calibri" w:hAnsi="Calibri"/>
          <w:sz w:val="24"/>
          <w:szCs w:val="24"/>
        </w:rPr>
      </w:pPr>
      <w:hyperlink r:id="rId23">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5">
      <w:pPr>
        <w:widowControl w:val="0"/>
        <w:numPr>
          <w:ilvl w:val="0"/>
          <w:numId w:val="1"/>
        </w:numPr>
        <w:spacing w:line="276" w:lineRule="auto"/>
        <w:ind w:left="720" w:hanging="360"/>
        <w:rPr>
          <w:rFonts w:ascii="Calibri" w:cs="Calibri" w:eastAsia="Calibri" w:hAnsi="Calibri"/>
          <w:sz w:val="24"/>
          <w:szCs w:val="24"/>
        </w:rPr>
      </w:pPr>
      <w:hyperlink r:id="rId24">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56">
      <w:pPr>
        <w:widowControl w:val="0"/>
        <w:numPr>
          <w:ilvl w:val="0"/>
          <w:numId w:val="1"/>
        </w:numPr>
        <w:spacing w:line="276"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57">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58">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59">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A">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now a</w:t>
      </w:r>
      <w:r w:rsidDel="00000000" w:rsidR="00000000" w:rsidRPr="00000000">
        <w:rPr>
          <w:rFonts w:ascii="Calibri" w:cs="Calibri" w:eastAsia="Calibri" w:hAnsi="Calibri"/>
          <w:b w:val="1"/>
          <w:sz w:val="24"/>
          <w:szCs w:val="24"/>
          <w:rtl w:val="0"/>
        </w:rPr>
        <w:t xml:space="preserve"> Making the rounds electronic audit walk </w:t>
      </w:r>
      <w:r w:rsidDel="00000000" w:rsidR="00000000" w:rsidRPr="00000000">
        <w:rPr>
          <w:rFonts w:ascii="Calibri" w:cs="Calibri" w:eastAsia="Calibri" w:hAnsi="Calibri"/>
          <w:sz w:val="24"/>
          <w:szCs w:val="24"/>
          <w:rtl w:val="0"/>
        </w:rPr>
        <w:t xml:space="preserve">that can be completed by you in school. This tool will also be used by consultants when we visit. By completing electronically,  allows you to log and keep a record and is accessible via the My Activities tab on the DPE website:  </w:t>
      </w:r>
      <w:hyperlink r:id="rId26">
        <w:r w:rsidDel="00000000" w:rsidR="00000000" w:rsidRPr="00000000">
          <w:rPr>
            <w:rFonts w:ascii="Calibri" w:cs="Calibri" w:eastAsia="Calibri" w:hAnsi="Calibri"/>
            <w:color w:val="1155cc"/>
            <w:sz w:val="24"/>
            <w:szCs w:val="24"/>
            <w:u w:val="single"/>
            <w:rtl w:val="0"/>
          </w:rPr>
          <w:t xml:space="preserve">https://dataprotection.education/courses-heading/making-the-rounds-log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5D">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F">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the 10th February: </w:t>
      </w:r>
      <w:hyperlink r:id="rId27">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1">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2">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Demonstration of the latest features, reporting functions and updates.</w:t>
      </w:r>
      <w:r w:rsidDel="00000000" w:rsidR="00000000" w:rsidRPr="00000000">
        <w:rPr>
          <w:rFonts w:ascii="Calibri" w:cs="Calibri" w:eastAsia="Calibri" w:hAnsi="Calibri"/>
          <w:sz w:val="24"/>
          <w:szCs w:val="24"/>
          <w:rtl w:val="0"/>
        </w:rPr>
        <w:t xml:space="preserve"> School had looked at the RoP but had concerns for the amount of dedicated time that would be needed to complete. DPE will continue to populate the RoP with generic processes to support schools and  SL will follow up as updates to the RoP are made available.</w:t>
      </w:r>
    </w:p>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Q and As</w:t>
      </w:r>
    </w:p>
    <w:p w:rsidR="00000000" w:rsidDel="00000000" w:rsidP="00000000" w:rsidRDefault="00000000" w:rsidRPr="00000000" w14:paraId="00000066">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Jen</w:t>
      </w:r>
      <w:r w:rsidDel="00000000" w:rsidR="00000000" w:rsidRPr="00000000">
        <w:rPr>
          <w:rFonts w:ascii="Calibri" w:cs="Calibri" w:eastAsia="Calibri" w:hAnsi="Calibri"/>
          <w:sz w:val="24"/>
          <w:szCs w:val="24"/>
          <w:rtl w:val="0"/>
        </w:rPr>
        <w:t xml:space="preserve"> - is it possible to have a basic cribs heet (2 x A4) that can be issued to staff as part of the induction process - more specific to life in school? In addition, this could also be disseminated to specific staff i.e. site staff, caretakers and cleaners etc. Some suggestions from Jen:</w:t>
      </w:r>
    </w:p>
    <w:p w:rsidR="00000000" w:rsidDel="00000000" w:rsidP="00000000" w:rsidRDefault="00000000" w:rsidRPr="00000000" w14:paraId="00000067">
      <w:pPr>
        <w:numPr>
          <w:ilvl w:val="0"/>
          <w:numId w:val="7"/>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actions to take if personal data was observed by caretakers</w:t>
      </w:r>
    </w:p>
    <w:p w:rsidR="00000000" w:rsidDel="00000000" w:rsidP="00000000" w:rsidRDefault="00000000" w:rsidRPr="00000000" w14:paraId="00000068">
      <w:pPr>
        <w:numPr>
          <w:ilvl w:val="0"/>
          <w:numId w:val="7"/>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is acceptable to have on display and what is not (consent)</w:t>
      </w:r>
    </w:p>
    <w:p w:rsidR="00000000" w:rsidDel="00000000" w:rsidP="00000000" w:rsidRDefault="00000000" w:rsidRPr="00000000" w14:paraId="00000069">
      <w:pPr>
        <w:numPr>
          <w:ilvl w:val="0"/>
          <w:numId w:val="7"/>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Post it notes with sensitive data on them</w:t>
      </w:r>
    </w:p>
    <w:p w:rsidR="00000000" w:rsidDel="00000000" w:rsidP="00000000" w:rsidRDefault="00000000" w:rsidRPr="00000000" w14:paraId="0000006A">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SL</w:t>
      </w:r>
      <w:r w:rsidDel="00000000" w:rsidR="00000000" w:rsidRPr="00000000">
        <w:rPr>
          <w:rFonts w:ascii="Calibri" w:cs="Calibri" w:eastAsia="Calibri" w:hAnsi="Calibri"/>
          <w:sz w:val="24"/>
          <w:szCs w:val="24"/>
          <w:rtl w:val="0"/>
        </w:rPr>
        <w:t xml:space="preserve"> - Will check with JE and produce a crib sheet.</w:t>
      </w:r>
    </w:p>
    <w:sectPr>
      <w:headerReference r:id="rId2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hyperlink" Target="https://www.legislation.gov.uk/uksi/2021/833/contents/made" TargetMode="External"/><Relationship Id="rId21" Type="http://schemas.openxmlformats.org/officeDocument/2006/relationships/hyperlink" Target="https://www.legislation.gov.uk/ukpga/1980/58" TargetMode="External"/><Relationship Id="rId24" Type="http://schemas.openxmlformats.org/officeDocument/2006/relationships/hyperlink" Target="https://support.google.com/vault/answer/2990828?hl=en" TargetMode="External"/><Relationship Id="rId23" Type="http://schemas.openxmlformats.org/officeDocument/2006/relationships/hyperlink" Target="https://docs.microsoft.com/en-us/microsoft-365/compliance/retention?view=o365-worldw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courses-heading/stay-safe-online-ncsc" TargetMode="External"/><Relationship Id="rId26" Type="http://schemas.openxmlformats.org/officeDocument/2006/relationships/hyperlink" Target="https://dataprotection.education/courses-heading/making-the-rounds-log" TargetMode="External"/><Relationship Id="rId25" Type="http://schemas.openxmlformats.org/officeDocument/2006/relationships/hyperlink" Target="https://support.capitasoftware.com/csm?id=kb_article_view&amp;sysparm_article=KB0035802&amp;sys_kb_id=1915cce21b9f3010c723edb2b24bcbce&amp;spa=1" TargetMode="External"/><Relationship Id="rId28" Type="http://schemas.openxmlformats.org/officeDocument/2006/relationships/header" Target="header1.xml"/><Relationship Id="rId27" Type="http://schemas.openxmlformats.org/officeDocument/2006/relationships/hyperlink" Target="https://dataprotection.education/courses-heading/dpe-events" TargetMode="External"/><Relationship Id="rId5" Type="http://schemas.openxmlformats.org/officeDocument/2006/relationships/styles" Target="styles.xml"/><Relationship Id="rId6" Type="http://schemas.openxmlformats.org/officeDocument/2006/relationships/hyperlink" Target="https://dataprotection.education/best-practice-library/best-practice/records-management" TargetMode="External"/><Relationship Id="rId7" Type="http://schemas.openxmlformats.org/officeDocument/2006/relationships/hyperlink" Target="https://dataprotection.education/index.php/best-practice-library/best-practice/due-diligence-best-practice-area" TargetMode="External"/><Relationship Id="rId8" Type="http://schemas.openxmlformats.org/officeDocument/2006/relationships/hyperlink" Target="https://dataprotection.education/best-practice-library/documents/information-technology-security" TargetMode="External"/><Relationship Id="rId11" Type="http://schemas.openxmlformats.org/officeDocument/2006/relationships/hyperlink" Target="http://ncsc.gov.uk/" TargetMode="External"/><Relationship Id="rId10" Type="http://schemas.openxmlformats.org/officeDocument/2006/relationships/hyperlink" Target="https://dataprotection.education/index.php/best-practice-library/best-practice/information-classification" TargetMode="External"/><Relationship Id="rId13" Type="http://schemas.openxmlformats.org/officeDocument/2006/relationships/hyperlink" Target="https://www.ncsc.gov.uk/information/school-governor-questions" TargetMode="External"/><Relationship Id="rId12" Type="http://schemas.openxmlformats.org/officeDocument/2006/relationships/hyperlink" Target="https://www.ncsc.gov.uk/section/education-skills/schools" TargetMode="External"/><Relationship Id="rId15" Type="http://schemas.openxmlformats.org/officeDocument/2006/relationships/hyperlink" Target="https://dataprotection.education/news/166-information-security/220-assessing-the-state-of-your-data-security" TargetMode="External"/><Relationship Id="rId14" Type="http://schemas.openxmlformats.org/officeDocument/2006/relationships/hyperlink" Target="https://dataprotection.education/news/166-information-security/203-the-education-sector-now-at-highest-risk-of-cyber-attacks" TargetMode="External"/><Relationship Id="rId17" Type="http://schemas.openxmlformats.org/officeDocument/2006/relationships/hyperlink" Target="https://dataprotection.education/index.php/best-practice-library/best-practice/records-management" TargetMode="External"/><Relationship Id="rId16" Type="http://schemas.openxmlformats.org/officeDocument/2006/relationships/hyperlink" Target="https://irms.org.uk/page/SchoolsToolkit" TargetMode="External"/><Relationship Id="rId19"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